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方正小标宋简体" w:eastAsia="方正小标宋简体"/>
          <w:bCs/>
          <w:spacing w:val="-20"/>
          <w:sz w:val="44"/>
          <w:szCs w:val="44"/>
        </w:rPr>
      </w:pPr>
      <w:r>
        <w:rPr>
          <w:rFonts w:hint="eastAsia" w:ascii="方正小标宋简体" w:eastAsia="方正小标宋简体"/>
          <w:bCs/>
          <w:spacing w:val="-20"/>
          <w:sz w:val="44"/>
          <w:szCs w:val="44"/>
        </w:rPr>
        <w:t>北京市司法局</w:t>
      </w:r>
    </w:p>
    <w:p>
      <w:pPr>
        <w:spacing w:line="520" w:lineRule="exact"/>
        <w:jc w:val="center"/>
        <w:rPr>
          <w:rFonts w:hint="eastAsia" w:ascii="方正小标宋简体" w:eastAsia="方正小标宋简体"/>
          <w:bCs/>
          <w:spacing w:val="-20"/>
          <w:sz w:val="44"/>
          <w:szCs w:val="44"/>
        </w:rPr>
      </w:pPr>
      <w:r>
        <w:rPr>
          <w:rFonts w:hint="eastAsia" w:ascii="方正小标宋简体" w:eastAsia="方正小标宋简体"/>
          <w:bCs/>
          <w:spacing w:val="-20"/>
          <w:sz w:val="44"/>
          <w:szCs w:val="44"/>
        </w:rPr>
        <w:t>2020年政府信息公开工作年度报告</w:t>
      </w:r>
    </w:p>
    <w:p>
      <w:pPr>
        <w:spacing w:line="520" w:lineRule="exact"/>
        <w:rPr>
          <w:sz w:val="44"/>
          <w:szCs w:val="44"/>
        </w:rPr>
      </w:pPr>
    </w:p>
    <w:p>
      <w:pPr>
        <w:widowControl/>
        <w:spacing w:line="520" w:lineRule="exact"/>
        <w:ind w:firstLine="672" w:firstLineChars="200"/>
        <w:jc w:val="left"/>
        <w:rPr>
          <w:rFonts w:ascii="仿宋_GB2312" w:hAnsi="宋体" w:eastAsia="仿宋_GB2312" w:cs="宋体"/>
          <w:spacing w:val="8"/>
          <w:kern w:val="0"/>
          <w:sz w:val="32"/>
          <w:szCs w:val="32"/>
        </w:rPr>
      </w:pPr>
      <w:r>
        <w:rPr>
          <w:rFonts w:hint="eastAsia" w:ascii="仿宋_GB2312" w:hAnsi="宋体" w:eastAsia="仿宋_GB2312" w:cs="宋体"/>
          <w:spacing w:val="8"/>
          <w:kern w:val="0"/>
          <w:sz w:val="32"/>
          <w:szCs w:val="32"/>
        </w:rPr>
        <w:t>依据《中华人民共和国政府信息公开条例》(以下简称《政府信息公开条例》)第五十条规定，编制本报告。</w:t>
      </w:r>
    </w:p>
    <w:p>
      <w:pPr>
        <w:pStyle w:val="2"/>
        <w:numPr>
          <w:ilvl w:val="0"/>
          <w:numId w:val="1"/>
        </w:numPr>
        <w:spacing w:line="520" w:lineRule="exact"/>
        <w:rPr>
          <w:rStyle w:val="5"/>
          <w:rFonts w:ascii="黑体" w:hAnsi="黑体" w:eastAsia="黑体" w:cs="仿宋"/>
          <w:b w:val="0"/>
          <w:bCs/>
          <w:color w:val="222222"/>
          <w:sz w:val="32"/>
          <w:szCs w:val="32"/>
        </w:rPr>
      </w:pPr>
      <w:r>
        <w:rPr>
          <w:rFonts w:hint="eastAsia" w:ascii="黑体" w:hAnsi="黑体" w:eastAsia="黑体" w:cs="宋体"/>
          <w:spacing w:val="8"/>
          <w:kern w:val="0"/>
          <w:sz w:val="32"/>
          <w:szCs w:val="32"/>
        </w:rPr>
        <w:t>总体情况</w:t>
      </w:r>
    </w:p>
    <w:p>
      <w:pPr>
        <w:pStyle w:val="2"/>
        <w:spacing w:line="520" w:lineRule="exact"/>
        <w:ind w:firstLine="640" w:firstLineChars="200"/>
        <w:rPr>
          <w:rStyle w:val="5"/>
          <w:rFonts w:hint="eastAsia" w:ascii="仿宋_GB2312" w:hAnsi="仿宋" w:eastAsia="仿宋_GB2312" w:cs="仿宋"/>
          <w:b w:val="0"/>
          <w:bCs/>
          <w:color w:val="222222"/>
          <w:sz w:val="32"/>
          <w:szCs w:val="32"/>
        </w:rPr>
      </w:pPr>
      <w:r>
        <w:rPr>
          <w:rStyle w:val="5"/>
          <w:rFonts w:hint="eastAsia" w:ascii="仿宋_GB2312" w:hAnsi="仿宋" w:eastAsia="仿宋_GB2312" w:cs="仿宋"/>
          <w:b w:val="0"/>
          <w:bCs/>
          <w:color w:val="222222"/>
          <w:sz w:val="32"/>
          <w:szCs w:val="32"/>
        </w:rPr>
        <w:t>2020年，我局坚持以习近平新时代中国特色社会主义思想为指导，深入贯彻党的十九大和十九届二中、三中、四中全会精神，按照《政府信息公开条例》的要求，结合《北京市司法局政府信息主动公开清单》与工作实际，着力强化公开、解读、发布、互动，积极打造政府网站、政务新媒体等平台建设，全面提升公开质量和实效，持续推进政府信息公开工作。</w:t>
      </w:r>
    </w:p>
    <w:p>
      <w:pPr>
        <w:pStyle w:val="2"/>
        <w:spacing w:line="520" w:lineRule="exact"/>
        <w:ind w:firstLine="482" w:firstLineChars="150"/>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（一）进一步加强政府信息公开的组织保障</w:t>
      </w:r>
    </w:p>
    <w:p>
      <w:pPr>
        <w:pStyle w:val="2"/>
        <w:spacing w:line="520" w:lineRule="exact"/>
        <w:ind w:firstLine="480" w:firstLineChars="150"/>
        <w:rPr>
          <w:rStyle w:val="5"/>
          <w:rFonts w:hint="eastAsia" w:ascii="仿宋_GB2312" w:hAnsi="仿宋" w:eastAsia="仿宋_GB2312" w:cs="仿宋"/>
          <w:b w:val="0"/>
          <w:bCs/>
          <w:color w:val="222222"/>
          <w:sz w:val="32"/>
          <w:szCs w:val="32"/>
        </w:rPr>
      </w:pPr>
      <w:r>
        <w:rPr>
          <w:rStyle w:val="5"/>
          <w:rFonts w:hint="eastAsia" w:ascii="仿宋_GB2312" w:hAnsi="仿宋" w:eastAsia="仿宋_GB2312" w:cs="仿宋"/>
          <w:b w:val="0"/>
          <w:bCs/>
          <w:color w:val="222222"/>
          <w:sz w:val="32"/>
          <w:szCs w:val="32"/>
        </w:rPr>
        <w:t>为更好地开展政府信息与政务公开，使广大民众更好地了解司法行政工作，提供更为快捷方便的法律服务，将相关工作落到实处，避免政府信息公开工作职责不清、互相扯皮推诿，我局进一步加强政府信息公开工作的队伍管理，要求各处室结合《北京市司法局政府信息公开全清单》对应的政府信息与政务公开工作任务，明确专门负责政府信息与政务公开的处（副）级负责人与具体工作人员，建立联络员工作机制，责任到人，工作到岗。</w:t>
      </w:r>
    </w:p>
    <w:p>
      <w:pPr>
        <w:spacing w:line="520" w:lineRule="exact"/>
        <w:ind w:firstLine="643" w:firstLineChars="200"/>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（二）扎实推进主动公开工作</w:t>
      </w:r>
    </w:p>
    <w:p>
      <w:pPr>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1．积极推进办公信息的公开。不仅在门户网站“司法局介绍”中对常规办公时间等进行了公开，同时专门在门户网站首页底部增设了“联系我们”栏目，进一步细化办公时间的公开，将市司法局综合咨询（信息公开）电话、行政审批电话行政复议电话（北京市人民政府行政复议接待室信访电话）、公共法律服务热线、监督电话以及各处室具体的咨询电话与接待时间全部对外公开。</w:t>
      </w:r>
    </w:p>
    <w:p>
      <w:pPr>
        <w:pStyle w:val="2"/>
        <w:spacing w:line="520" w:lineRule="exact"/>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 xml:space="preserve">    2．动态调整政府信息公开全清单</w:t>
      </w:r>
    </w:p>
    <w:p>
      <w:pPr>
        <w:pStyle w:val="2"/>
        <w:spacing w:line="520" w:lineRule="exact"/>
        <w:ind w:firstLine="640" w:firstLineChars="200"/>
        <w:rPr>
          <w:rStyle w:val="5"/>
          <w:rFonts w:hint="default" w:ascii="仿宋" w:hAnsi="仿宋" w:eastAsia="仿宋" w:cs="仿宋"/>
          <w:b w:val="0"/>
          <w:bCs/>
          <w:color w:val="222222"/>
          <w:sz w:val="32"/>
          <w:szCs w:val="32"/>
          <w:lang w:val="en-US" w:eastAsia="zh-CN"/>
        </w:rPr>
      </w:pPr>
      <w:r>
        <w:rPr>
          <w:rStyle w:val="5"/>
          <w:rFonts w:hint="eastAsia" w:ascii="仿宋" w:hAnsi="仿宋" w:eastAsia="仿宋" w:cs="仿宋"/>
          <w:b w:val="0"/>
          <w:bCs/>
          <w:color w:val="222222"/>
          <w:sz w:val="32"/>
          <w:szCs w:val="32"/>
        </w:rPr>
        <w:t>为深入推进我局政务公开工作，提升政务公开标准化规范化水平，根据《北京市政务公开领导小组办公室关于动态调整本市政务公开全清单有关工作的通知》，梳理现有政务公开全清单的“具体职责”和“业务事项”，遵循“只增不减”原则，对全清单进行增减或变更，确保职责全覆盖、事项无遗漏。对于增加的职责事项，逐项明确主动公开、依申请公开、不予公开等公开属性，属于主动公开范围的，明确属性依据、内容标准、公开主体、公开时限和公开形式；属于不予公开范围的，对照《条例》明确法定不予公开理由。对于政府信息由依申请公开转为主动公开的，按照主动公开清单要素补足原依申请公开清单缺项信息</w:t>
      </w:r>
      <w:r>
        <w:rPr>
          <w:rStyle w:val="5"/>
          <w:rFonts w:hint="eastAsia" w:ascii="仿宋" w:hAnsi="仿宋" w:eastAsia="仿宋" w:cs="仿宋"/>
          <w:b w:val="0"/>
          <w:bCs/>
          <w:color w:val="222222"/>
          <w:sz w:val="32"/>
          <w:szCs w:val="32"/>
          <w:lang w:eastAsia="zh-CN"/>
        </w:rPr>
        <w:t>。此次</w:t>
      </w:r>
      <w:r>
        <w:rPr>
          <w:rStyle w:val="5"/>
          <w:rFonts w:hint="eastAsia" w:ascii="仿宋" w:hAnsi="仿宋" w:eastAsia="仿宋" w:cs="仿宋"/>
          <w:b w:val="0"/>
          <w:bCs/>
          <w:color w:val="auto"/>
          <w:sz w:val="32"/>
          <w:szCs w:val="32"/>
        </w:rPr>
        <w:t>共调整</w:t>
      </w:r>
      <w:r>
        <w:rPr>
          <w:rStyle w:val="5"/>
          <w:rFonts w:hint="eastAsia" w:ascii="仿宋" w:hAnsi="仿宋" w:eastAsia="仿宋" w:cs="仿宋"/>
          <w:b w:val="0"/>
          <w:bCs/>
          <w:color w:val="auto"/>
          <w:sz w:val="32"/>
          <w:szCs w:val="32"/>
          <w:lang w:eastAsia="zh-CN"/>
        </w:rPr>
        <w:t>了</w:t>
      </w:r>
      <w:r>
        <w:rPr>
          <w:rStyle w:val="5"/>
          <w:rFonts w:hint="eastAsia" w:ascii="仿宋" w:hAnsi="仿宋" w:eastAsia="仿宋" w:cs="仿宋"/>
          <w:b w:val="0"/>
          <w:bCs/>
          <w:color w:val="auto"/>
          <w:sz w:val="32"/>
          <w:szCs w:val="32"/>
          <w:lang w:val="en-US" w:eastAsia="zh-CN"/>
        </w:rPr>
        <w:t>21</w:t>
      </w:r>
      <w:r>
        <w:rPr>
          <w:rStyle w:val="5"/>
          <w:rFonts w:hint="eastAsia" w:ascii="仿宋" w:hAnsi="仿宋" w:eastAsia="仿宋" w:cs="仿宋"/>
          <w:b w:val="0"/>
          <w:bCs/>
          <w:color w:val="auto"/>
          <w:sz w:val="32"/>
          <w:szCs w:val="32"/>
        </w:rPr>
        <w:t>项</w:t>
      </w:r>
      <w:r>
        <w:rPr>
          <w:rStyle w:val="5"/>
          <w:rFonts w:hint="eastAsia" w:ascii="仿宋" w:hAnsi="仿宋" w:eastAsia="仿宋" w:cs="仿宋"/>
          <w:b w:val="0"/>
          <w:bCs/>
          <w:color w:val="auto"/>
          <w:sz w:val="32"/>
          <w:szCs w:val="32"/>
          <w:lang w:eastAsia="zh-CN"/>
        </w:rPr>
        <w:t>，</w:t>
      </w:r>
      <w:r>
        <w:rPr>
          <w:rStyle w:val="5"/>
          <w:rFonts w:hint="eastAsia" w:ascii="仿宋" w:hAnsi="仿宋" w:eastAsia="仿宋" w:cs="仿宋"/>
          <w:b w:val="0"/>
          <w:bCs/>
          <w:color w:val="222222"/>
          <w:sz w:val="32"/>
          <w:szCs w:val="32"/>
          <w:lang w:eastAsia="zh-CN"/>
        </w:rPr>
        <w:t>调整后的</w:t>
      </w:r>
      <w:r>
        <w:rPr>
          <w:rStyle w:val="5"/>
          <w:rFonts w:hint="eastAsia" w:ascii="仿宋" w:hAnsi="仿宋" w:eastAsia="仿宋" w:cs="仿宋"/>
          <w:b w:val="0"/>
          <w:bCs/>
          <w:color w:val="222222"/>
          <w:sz w:val="32"/>
          <w:szCs w:val="32"/>
        </w:rPr>
        <w:t>《北京市司法局政府信息主动公开清单》</w:t>
      </w:r>
      <w:r>
        <w:rPr>
          <w:rStyle w:val="5"/>
          <w:rFonts w:hint="eastAsia" w:ascii="仿宋" w:hAnsi="仿宋" w:eastAsia="仿宋" w:cs="仿宋"/>
          <w:b w:val="0"/>
          <w:bCs/>
          <w:color w:val="222222"/>
          <w:sz w:val="32"/>
          <w:szCs w:val="32"/>
          <w:lang w:eastAsia="zh-CN"/>
        </w:rPr>
        <w:t>仍为</w:t>
      </w:r>
      <w:r>
        <w:rPr>
          <w:rStyle w:val="5"/>
          <w:rFonts w:hint="eastAsia" w:ascii="仿宋" w:hAnsi="仿宋" w:eastAsia="仿宋" w:cs="仿宋"/>
          <w:b w:val="0"/>
          <w:bCs/>
          <w:color w:val="222222"/>
          <w:sz w:val="32"/>
          <w:szCs w:val="32"/>
          <w:lang w:val="en-US" w:eastAsia="zh-CN"/>
        </w:rPr>
        <w:t>80项，已按要求</w:t>
      </w:r>
      <w:r>
        <w:rPr>
          <w:rStyle w:val="5"/>
          <w:rFonts w:hint="eastAsia" w:ascii="仿宋" w:hAnsi="仿宋" w:eastAsia="仿宋" w:cs="仿宋"/>
          <w:b w:val="0"/>
          <w:bCs/>
          <w:color w:val="222222"/>
          <w:sz w:val="32"/>
          <w:szCs w:val="32"/>
        </w:rPr>
        <w:t>在门户网站对外公开。</w:t>
      </w:r>
    </w:p>
    <w:p>
      <w:pPr>
        <w:pStyle w:val="2"/>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3．切实做好</w:t>
      </w:r>
      <w:r>
        <w:rPr>
          <w:rStyle w:val="5"/>
          <w:rFonts w:ascii="仿宋" w:hAnsi="仿宋" w:eastAsia="仿宋" w:cs="仿宋"/>
          <w:b w:val="0"/>
          <w:bCs/>
          <w:color w:val="222222"/>
          <w:sz w:val="32"/>
          <w:szCs w:val="32"/>
        </w:rPr>
        <w:t>行政决策预公开</w:t>
      </w:r>
    </w:p>
    <w:p>
      <w:pPr>
        <w:pStyle w:val="2"/>
        <w:spacing w:line="520" w:lineRule="exact"/>
        <w:ind w:firstLine="640" w:firstLineChars="200"/>
        <w:rPr>
          <w:rStyle w:val="5"/>
          <w:rFonts w:ascii="仿宋" w:hAnsi="仿宋" w:eastAsia="仿宋" w:cs="仿宋"/>
          <w:b w:val="0"/>
          <w:bCs/>
          <w:color w:val="222222"/>
          <w:sz w:val="32"/>
          <w:szCs w:val="32"/>
        </w:rPr>
      </w:pPr>
      <w:r>
        <w:rPr>
          <w:rStyle w:val="5"/>
          <w:rFonts w:ascii="仿宋" w:hAnsi="仿宋" w:eastAsia="仿宋" w:cs="仿宋"/>
          <w:b w:val="0"/>
          <w:bCs/>
          <w:color w:val="222222"/>
          <w:sz w:val="32"/>
          <w:szCs w:val="32"/>
        </w:rPr>
        <w:t>我局</w:t>
      </w:r>
      <w:r>
        <w:rPr>
          <w:rStyle w:val="5"/>
          <w:rFonts w:hint="eastAsia" w:ascii="仿宋" w:hAnsi="仿宋" w:eastAsia="仿宋" w:cs="仿宋"/>
          <w:b w:val="0"/>
          <w:bCs/>
          <w:color w:val="222222"/>
          <w:sz w:val="32"/>
          <w:szCs w:val="32"/>
        </w:rPr>
        <w:t>认真执行</w:t>
      </w:r>
      <w:r>
        <w:rPr>
          <w:rStyle w:val="5"/>
          <w:rFonts w:ascii="仿宋" w:hAnsi="仿宋" w:eastAsia="仿宋" w:cs="仿宋"/>
          <w:b w:val="0"/>
          <w:bCs/>
          <w:color w:val="222222"/>
          <w:sz w:val="32"/>
          <w:szCs w:val="32"/>
        </w:rPr>
        <w:t>重大行政决策预公开制度,除依法应当保密的以外,将对社会关注度高的，涉及公共利益和公众权益的重大决策事项,如《北京市2021年政府规章立法项目》《北京市司法鉴定管理条例》草案(征求意见稿)、《北京市司法行政系统行政违法行为分类及处罚裁量基准目录》《北京市司法行政机关行政违法行为分类及处罚裁量基准目录（司法鉴定类）（修订征求意见稿）》等6项行政决策草案</w:t>
      </w:r>
      <w:r>
        <w:rPr>
          <w:rStyle w:val="5"/>
          <w:rFonts w:hint="eastAsia" w:ascii="仿宋" w:hAnsi="仿宋" w:eastAsia="仿宋" w:cs="仿宋"/>
          <w:b w:val="0"/>
          <w:bCs/>
          <w:color w:val="222222"/>
          <w:sz w:val="32"/>
          <w:szCs w:val="32"/>
        </w:rPr>
        <w:t>的</w:t>
      </w:r>
      <w:r>
        <w:rPr>
          <w:rStyle w:val="5"/>
          <w:rFonts w:ascii="仿宋" w:hAnsi="仿宋" w:eastAsia="仿宋" w:cs="仿宋"/>
          <w:b w:val="0"/>
          <w:bCs/>
          <w:color w:val="222222"/>
          <w:sz w:val="32"/>
          <w:szCs w:val="32"/>
        </w:rPr>
        <w:t>制定依据、起草说明、征集周期在我局门户网站征集意见时，提前一个工作日发给首都之窗互动栏目，以同步对外公开，广泛听取公众意见。并在征集工作结束后30日内将征集意见的主要观点、采纳意见数量等情况向社会主动公开。</w:t>
      </w:r>
    </w:p>
    <w:p>
      <w:pPr>
        <w:pStyle w:val="2"/>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4．</w:t>
      </w:r>
      <w:r>
        <w:rPr>
          <w:rStyle w:val="5"/>
          <w:rFonts w:ascii="仿宋" w:hAnsi="仿宋" w:eastAsia="仿宋" w:cs="仿宋"/>
          <w:b w:val="0"/>
          <w:bCs/>
          <w:color w:val="222222"/>
          <w:sz w:val="32"/>
          <w:szCs w:val="32"/>
        </w:rPr>
        <w:t>认真落实政策解读</w:t>
      </w:r>
    </w:p>
    <w:p>
      <w:pPr>
        <w:pStyle w:val="2"/>
        <w:spacing w:line="520" w:lineRule="exact"/>
        <w:ind w:firstLine="640" w:firstLineChars="200"/>
        <w:rPr>
          <w:rStyle w:val="5"/>
          <w:rFonts w:ascii="仿宋" w:hAnsi="仿宋" w:eastAsia="仿宋" w:cs="仿宋"/>
          <w:b w:val="0"/>
          <w:bCs/>
          <w:color w:val="222222"/>
          <w:sz w:val="32"/>
          <w:szCs w:val="32"/>
        </w:rPr>
      </w:pPr>
      <w:r>
        <w:rPr>
          <w:rStyle w:val="5"/>
          <w:rFonts w:ascii="仿宋" w:hAnsi="仿宋" w:eastAsia="仿宋" w:cs="仿宋"/>
          <w:b w:val="0"/>
          <w:bCs/>
          <w:color w:val="222222"/>
          <w:sz w:val="32"/>
          <w:szCs w:val="32"/>
        </w:rPr>
        <w:t>2020年，我局出台了《律师专业水平评价体系和评定机制试点工作实施办法（试行）》</w:t>
      </w:r>
      <w:r>
        <w:rPr>
          <w:rStyle w:val="5"/>
          <w:rFonts w:hint="eastAsia" w:ascii="仿宋" w:hAnsi="仿宋" w:eastAsia="仿宋" w:cs="仿宋"/>
          <w:b w:val="0"/>
          <w:bCs/>
          <w:color w:val="222222"/>
          <w:sz w:val="32"/>
          <w:szCs w:val="32"/>
        </w:rPr>
        <w:t>《境外仲裁机构在中国（北京）自由贸易试验区设立业务机构登记管理办法》</w:t>
      </w:r>
      <w:r>
        <w:rPr>
          <w:rStyle w:val="5"/>
          <w:rFonts w:ascii="仿宋" w:hAnsi="仿宋" w:eastAsia="仿宋" w:cs="仿宋"/>
          <w:b w:val="0"/>
          <w:bCs/>
          <w:color w:val="222222"/>
          <w:sz w:val="32"/>
          <w:szCs w:val="32"/>
        </w:rPr>
        <w:t>，</w:t>
      </w:r>
      <w:r>
        <w:rPr>
          <w:rStyle w:val="5"/>
          <w:rFonts w:hint="eastAsia" w:ascii="仿宋" w:hAnsi="仿宋" w:eastAsia="仿宋" w:cs="仿宋"/>
          <w:b w:val="0"/>
          <w:bCs/>
          <w:color w:val="222222"/>
          <w:sz w:val="32"/>
          <w:szCs w:val="32"/>
          <w:lang w:eastAsia="zh-CN"/>
        </w:rPr>
        <w:t>这两个规范性文件均</w:t>
      </w:r>
      <w:r>
        <w:rPr>
          <w:rStyle w:val="5"/>
          <w:rFonts w:ascii="仿宋" w:hAnsi="仿宋" w:eastAsia="仿宋" w:cs="仿宋"/>
          <w:b w:val="0"/>
          <w:bCs/>
          <w:color w:val="222222"/>
          <w:sz w:val="32"/>
          <w:szCs w:val="32"/>
        </w:rPr>
        <w:t>在我局门户网站“政策法规”栏目对外发布，同时政策解读文件与解读方案、解读材料同步组织、同步审签、同步部署，就相关文件的背景依据、目标任务、主要内容、涉及范围等进行了政策解读，</w:t>
      </w:r>
      <w:r>
        <w:rPr>
          <w:rStyle w:val="5"/>
          <w:rFonts w:hint="eastAsia" w:ascii="仿宋" w:hAnsi="仿宋" w:eastAsia="仿宋" w:cs="仿宋"/>
          <w:b w:val="0"/>
          <w:bCs/>
          <w:color w:val="222222"/>
          <w:sz w:val="32"/>
          <w:szCs w:val="32"/>
        </w:rPr>
        <w:t>并</w:t>
      </w:r>
      <w:r>
        <w:rPr>
          <w:rStyle w:val="5"/>
          <w:rFonts w:ascii="仿宋" w:hAnsi="仿宋" w:eastAsia="仿宋" w:cs="仿宋"/>
          <w:b w:val="0"/>
          <w:bCs/>
          <w:color w:val="222222"/>
          <w:sz w:val="32"/>
          <w:szCs w:val="32"/>
        </w:rPr>
        <w:t>在信息底部互建了关联链接，以便于广大民众查阅</w:t>
      </w:r>
      <w:r>
        <w:rPr>
          <w:rStyle w:val="5"/>
          <w:rFonts w:hint="eastAsia" w:ascii="仿宋" w:hAnsi="仿宋" w:eastAsia="仿宋" w:cs="仿宋"/>
          <w:b w:val="0"/>
          <w:bCs/>
          <w:color w:val="222222"/>
          <w:sz w:val="32"/>
          <w:szCs w:val="32"/>
        </w:rPr>
        <w:t>取</w:t>
      </w:r>
      <w:r>
        <w:rPr>
          <w:rStyle w:val="5"/>
          <w:rFonts w:ascii="仿宋" w:hAnsi="仿宋" w:eastAsia="仿宋" w:cs="仿宋"/>
          <w:b w:val="0"/>
          <w:bCs/>
          <w:color w:val="222222"/>
          <w:sz w:val="32"/>
          <w:szCs w:val="32"/>
        </w:rPr>
        <w:t>用。我局在门户网站政策解读栏目发布了《5个问题带你了解北京市司法鉴定管理条例》《北京市司法局解读市政府2020年立法工作计划》等6个政策解读。李富莹局长认真履行 “第一解读人”职责，</w:t>
      </w:r>
      <w:r>
        <w:rPr>
          <w:rStyle w:val="5"/>
          <w:rFonts w:hint="eastAsia" w:ascii="仿宋" w:hAnsi="仿宋" w:eastAsia="仿宋" w:cs="仿宋"/>
          <w:b w:val="0"/>
          <w:bCs/>
          <w:color w:val="222222"/>
          <w:sz w:val="32"/>
          <w:szCs w:val="32"/>
        </w:rPr>
        <w:t>为</w:t>
      </w:r>
      <w:r>
        <w:rPr>
          <w:rStyle w:val="5"/>
          <w:rFonts w:ascii="仿宋" w:hAnsi="仿宋" w:eastAsia="仿宋" w:cs="仿宋"/>
          <w:b w:val="0"/>
          <w:bCs/>
          <w:color w:val="222222"/>
          <w:sz w:val="32"/>
          <w:szCs w:val="32"/>
        </w:rPr>
        <w:t>全局同志认真解读了《中华人民共和国民法典》主要内容，并在门户网站发布了一图读懂《关于加强&lt;中华人民共和国民法典&gt;学习宣传的实施意见》，我局还对《北京市公共场所外语标识》等采用图文并茂的形式进行了解读，提高了政策解读实用</w:t>
      </w:r>
      <w:r>
        <w:rPr>
          <w:rStyle w:val="5"/>
          <w:rFonts w:hint="eastAsia" w:ascii="仿宋" w:hAnsi="仿宋" w:eastAsia="仿宋" w:cs="仿宋"/>
          <w:b w:val="0"/>
          <w:bCs/>
          <w:color w:val="222222"/>
          <w:sz w:val="32"/>
          <w:szCs w:val="32"/>
          <w:lang w:eastAsia="zh-CN"/>
        </w:rPr>
        <w:t>性</w:t>
      </w:r>
      <w:r>
        <w:rPr>
          <w:rStyle w:val="5"/>
          <w:rFonts w:ascii="仿宋" w:hAnsi="仿宋" w:eastAsia="仿宋" w:cs="仿宋"/>
          <w:b w:val="0"/>
          <w:bCs/>
          <w:color w:val="222222"/>
          <w:sz w:val="32"/>
          <w:szCs w:val="32"/>
        </w:rPr>
        <w:t>。</w:t>
      </w:r>
    </w:p>
    <w:p>
      <w:pPr>
        <w:pStyle w:val="2"/>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5．深入推进</w:t>
      </w:r>
      <w:r>
        <w:rPr>
          <w:rStyle w:val="5"/>
          <w:rFonts w:ascii="仿宋" w:hAnsi="仿宋" w:eastAsia="仿宋" w:cs="仿宋"/>
          <w:b w:val="0"/>
          <w:bCs/>
          <w:color w:val="222222"/>
          <w:sz w:val="32"/>
          <w:szCs w:val="32"/>
        </w:rPr>
        <w:t>重点领域政府信息公开。在</w:t>
      </w:r>
      <w:r>
        <w:rPr>
          <w:rStyle w:val="5"/>
          <w:rFonts w:hint="eastAsia" w:ascii="仿宋" w:hAnsi="仿宋" w:eastAsia="仿宋" w:cs="仿宋"/>
          <w:b w:val="0"/>
          <w:bCs/>
          <w:color w:val="222222"/>
          <w:sz w:val="32"/>
          <w:szCs w:val="32"/>
        </w:rPr>
        <w:t>我局门户网站公开了《北京市司法局 2019年度法治政府建设情况报告》《北京市司法局2019年度部门决算》《北京市司法局2020年财政预算信息》《北京市司法局2020年上半年工作总结》以及北京市司法局2020年绩效任务完成进展情况等重要政府信息，做到“应公开，尽公开”。另外，我局依托门户网站、北京法律服务网、“京司观澜”微信公众号、“北京司法”新浪微博、“北京司法”一点号、“北京司法”头条号以及北京普法微博微信宣传矩阵，开展普法和依法治理相关政务信息的发布，广泛宣传我局围绕保障“六稳”“六保”大局开展公共法律服务，“助企惠民春季行动”、公共法律服务领域推出的“八专”举措、公证事项线上办、实习律师“云”面试、“云”调解等便民利民信息；就行政复议、行政审批、仲裁、律师年检和律所年度备案、2020年人民陪审员选任工作、2020年国家统一法律职业资格考试北京考区等事项发布通知通告，及时公布复工复产疫情防控信息与工作举措，回应社会关切。</w:t>
      </w:r>
      <w:r>
        <w:rPr>
          <w:rStyle w:val="5"/>
          <w:rFonts w:hint="eastAsia" w:ascii="仿宋" w:hAnsi="仿宋" w:eastAsia="仿宋" w:cs="仿宋"/>
          <w:b w:val="0"/>
          <w:bCs/>
          <w:color w:val="222222"/>
          <w:sz w:val="32"/>
          <w:szCs w:val="32"/>
          <w:lang w:eastAsia="zh-CN"/>
        </w:rPr>
        <w:t>据统计，</w:t>
      </w:r>
      <w:r>
        <w:rPr>
          <w:rStyle w:val="5"/>
          <w:rFonts w:hint="eastAsia" w:ascii="仿宋" w:hAnsi="仿宋" w:eastAsia="仿宋" w:cs="仿宋"/>
          <w:b w:val="0"/>
          <w:bCs/>
          <w:color w:val="222222"/>
          <w:sz w:val="32"/>
          <w:szCs w:val="32"/>
          <w:lang w:val="en-US" w:eastAsia="zh-CN"/>
        </w:rPr>
        <w:t>2020</w:t>
      </w:r>
      <w:r>
        <w:rPr>
          <w:rStyle w:val="5"/>
          <w:rFonts w:hint="eastAsia" w:ascii="仿宋" w:hAnsi="仿宋" w:eastAsia="仿宋" w:cs="仿宋"/>
          <w:b w:val="0"/>
          <w:bCs/>
          <w:color w:val="222222"/>
          <w:sz w:val="32"/>
          <w:szCs w:val="32"/>
          <w:lang w:eastAsia="zh-CN"/>
        </w:rPr>
        <w:t>年我局共在门户网站对外公开政府信息</w:t>
      </w:r>
      <w:r>
        <w:rPr>
          <w:rStyle w:val="5"/>
          <w:rFonts w:hint="eastAsia" w:ascii="仿宋" w:hAnsi="仿宋" w:eastAsia="仿宋" w:cs="仿宋"/>
          <w:b w:val="0"/>
          <w:bCs/>
          <w:color w:val="222222"/>
          <w:sz w:val="32"/>
          <w:szCs w:val="32"/>
          <w:lang w:val="en-US" w:eastAsia="zh-CN"/>
        </w:rPr>
        <w:t>2719篇（次）。</w:t>
      </w:r>
    </w:p>
    <w:p>
      <w:pPr>
        <w:pStyle w:val="2"/>
        <w:spacing w:line="520" w:lineRule="exact"/>
        <w:ind w:left="704"/>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（三）依法依规处理政府信息依申请公开工作</w:t>
      </w:r>
    </w:p>
    <w:p>
      <w:pPr>
        <w:pStyle w:val="2"/>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2020年我局共受理公民、法人和其他组织提出的政府信息公开申请129件，上年结转7件，共办结125</w:t>
      </w:r>
      <w:r>
        <w:rPr>
          <w:rStyle w:val="5"/>
          <w:rFonts w:hint="eastAsia" w:ascii="仿宋" w:hAnsi="仿宋" w:eastAsia="仿宋" w:cs="仿宋"/>
          <w:b w:val="0"/>
          <w:bCs/>
          <w:sz w:val="32"/>
          <w:szCs w:val="32"/>
        </w:rPr>
        <w:t>件</w:t>
      </w:r>
      <w:r>
        <w:rPr>
          <w:rStyle w:val="5"/>
          <w:rFonts w:hint="eastAsia" w:ascii="仿宋" w:hAnsi="仿宋" w:eastAsia="仿宋" w:cs="仿宋"/>
          <w:b w:val="0"/>
          <w:bCs/>
          <w:color w:val="222222"/>
          <w:sz w:val="32"/>
          <w:szCs w:val="32"/>
        </w:rPr>
        <w:t>，未办结需转到明年的11件。所有的依申请公开事项依照新修改的《政府信息公开条例》规定办理，答复意见均由我局法律顾问严格审核并出具法律意见。</w:t>
      </w:r>
    </w:p>
    <w:p>
      <w:pPr>
        <w:pStyle w:val="2"/>
        <w:spacing w:line="520" w:lineRule="exact"/>
        <w:ind w:left="704"/>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（四）严格把控政府信息源头管理</w:t>
      </w:r>
    </w:p>
    <w:p>
      <w:pPr>
        <w:pStyle w:val="2"/>
        <w:spacing w:line="520" w:lineRule="exact"/>
        <w:ind w:firstLine="640" w:firstLineChars="200"/>
        <w:rPr>
          <w:rStyle w:val="5"/>
          <w:rFonts w:hint="eastAsia" w:ascii="仿宋" w:hAnsi="仿宋" w:eastAsia="仿宋" w:cs="仿宋"/>
          <w:b w:val="0"/>
          <w:bCs/>
          <w:color w:val="222222"/>
          <w:sz w:val="32"/>
          <w:szCs w:val="32"/>
        </w:rPr>
      </w:pPr>
      <w:r>
        <w:rPr>
          <w:rStyle w:val="5"/>
          <w:rFonts w:hint="eastAsia" w:ascii="仿宋" w:hAnsi="仿宋" w:eastAsia="仿宋" w:cs="仿宋"/>
          <w:b w:val="0"/>
          <w:bCs/>
          <w:color w:val="222222"/>
          <w:sz w:val="32"/>
          <w:szCs w:val="32"/>
        </w:rPr>
        <w:t>为了保证政府信息公开工作的合法合规，我局要求严把政府信息审核关，所有对外发布的信息需经分管副处长、处室负责人、分管局领导以及办公室分管信息公开的主任审核签字后，方可对外发布，以从源头上加强政府信息管理，进一步规范政府信息公开工作。</w:t>
      </w:r>
    </w:p>
    <w:p>
      <w:pPr>
        <w:pStyle w:val="2"/>
        <w:spacing w:line="520" w:lineRule="exact"/>
        <w:ind w:firstLine="640" w:firstLineChars="200"/>
        <w:rPr>
          <w:rStyle w:val="5"/>
          <w:rFonts w:hint="eastAsia" w:ascii="仿宋" w:hAnsi="仿宋" w:eastAsia="仿宋" w:cs="仿宋"/>
          <w:b w:val="0"/>
          <w:bCs/>
          <w:color w:val="222222"/>
          <w:sz w:val="32"/>
          <w:szCs w:val="32"/>
        </w:rPr>
      </w:pPr>
    </w:p>
    <w:p>
      <w:pPr>
        <w:pStyle w:val="2"/>
        <w:spacing w:line="520" w:lineRule="exact"/>
        <w:ind w:left="704"/>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（五）持续推进平台建设</w:t>
      </w:r>
    </w:p>
    <w:p>
      <w:pPr>
        <w:pStyle w:val="2"/>
        <w:spacing w:line="520" w:lineRule="exact"/>
        <w:ind w:firstLine="640" w:firstLineChars="200"/>
        <w:rPr>
          <w:rStyle w:val="5"/>
          <w:rFonts w:ascii="仿宋" w:hAnsi="仿宋" w:eastAsia="仿宋" w:cs="仿宋"/>
          <w:b w:val="0"/>
          <w:bCs/>
          <w:color w:val="222222"/>
          <w:sz w:val="32"/>
          <w:szCs w:val="32"/>
        </w:rPr>
      </w:pPr>
      <w:r>
        <w:rPr>
          <w:rStyle w:val="5"/>
          <w:rFonts w:ascii="仿宋" w:hAnsi="仿宋" w:eastAsia="仿宋" w:cs="仿宋"/>
          <w:b w:val="0"/>
          <w:bCs/>
          <w:color w:val="222222"/>
          <w:sz w:val="32"/>
          <w:szCs w:val="32"/>
        </w:rPr>
        <w:t>为了给广大民众提供高效、便捷的一体化网上政府服务，大幅提升用户体验，统一网站整体风格，我局继网站集约化以后，对门户网站页面进行改版，通过网站结构、栏目设置和视觉效果等方面改造优化，大力突出服务便民，整合发挥“一网通查、一网通办、一网通答”三个“一网通”功能效果，充分考虑广大民众的浏览习惯，建设多终端适配的门户网站，智能适配各种访问终端，为公众提供良好的访问体验。</w:t>
      </w:r>
    </w:p>
    <w:p>
      <w:pPr>
        <w:pStyle w:val="2"/>
        <w:spacing w:line="520" w:lineRule="exact"/>
        <w:ind w:left="704"/>
        <w:rPr>
          <w:rStyle w:val="5"/>
          <w:rFonts w:hint="eastAsia" w:ascii="楷体_GB2312" w:hAnsi="仿宋" w:eastAsia="楷体_GB2312" w:cs="仿宋"/>
          <w:bCs/>
          <w:color w:val="222222"/>
          <w:sz w:val="32"/>
          <w:szCs w:val="32"/>
        </w:rPr>
      </w:pPr>
      <w:r>
        <w:rPr>
          <w:rStyle w:val="5"/>
          <w:rFonts w:hint="eastAsia" w:ascii="楷体_GB2312" w:hAnsi="仿宋" w:eastAsia="楷体_GB2312" w:cs="仿宋"/>
          <w:bCs/>
          <w:color w:val="222222"/>
          <w:sz w:val="32"/>
          <w:szCs w:val="32"/>
        </w:rPr>
        <w:t>（六）着力强化监督保障与教育培训</w:t>
      </w:r>
    </w:p>
    <w:p>
      <w:pPr>
        <w:spacing w:line="520" w:lineRule="exact"/>
        <w:ind w:firstLine="640" w:firstLineChars="200"/>
        <w:rPr>
          <w:rStyle w:val="5"/>
          <w:rFonts w:ascii="仿宋" w:hAnsi="仿宋" w:eastAsia="仿宋" w:cs="仿宋"/>
          <w:b w:val="0"/>
          <w:bCs/>
          <w:color w:val="222222"/>
          <w:sz w:val="32"/>
          <w:szCs w:val="32"/>
        </w:rPr>
      </w:pPr>
      <w:r>
        <w:rPr>
          <w:rStyle w:val="5"/>
          <w:rFonts w:hint="eastAsia" w:ascii="仿宋" w:hAnsi="仿宋" w:eastAsia="仿宋" w:cs="仿宋"/>
          <w:b w:val="0"/>
          <w:bCs/>
          <w:color w:val="222222"/>
          <w:sz w:val="32"/>
          <w:szCs w:val="32"/>
        </w:rPr>
        <w:t>我局进一步加强政府信息公开工作的队伍管理，要求各处室结合《北京市司法局政府信息公开全清单》对应的工作任务，明确专门负责政府信息与政务公开的处（副）级负责人与具体工作人员，建立联络员工作机制，责任到人，落实到岗。结合网站集约化工作，对各处室负责处理政民互动专栏事项，和负责专题专栏信息发布的工作人员进行业务培训，并</w:t>
      </w:r>
      <w:r>
        <w:rPr>
          <w:rStyle w:val="5"/>
          <w:rFonts w:ascii="仿宋" w:hAnsi="仿宋" w:eastAsia="仿宋" w:cs="仿宋"/>
          <w:b w:val="0"/>
          <w:bCs/>
          <w:color w:val="222222"/>
          <w:sz w:val="32"/>
          <w:szCs w:val="32"/>
        </w:rPr>
        <w:t>通过定期考核通报等形式，加强</w:t>
      </w:r>
      <w:r>
        <w:rPr>
          <w:rStyle w:val="5"/>
          <w:rFonts w:hint="eastAsia" w:ascii="仿宋" w:hAnsi="仿宋" w:eastAsia="仿宋" w:cs="仿宋"/>
          <w:b w:val="0"/>
          <w:bCs/>
          <w:color w:val="222222"/>
          <w:sz w:val="32"/>
          <w:szCs w:val="32"/>
        </w:rPr>
        <w:t>政府信息公开工作</w:t>
      </w:r>
      <w:r>
        <w:rPr>
          <w:rStyle w:val="5"/>
          <w:rFonts w:ascii="仿宋" w:hAnsi="仿宋" w:eastAsia="仿宋" w:cs="仿宋"/>
          <w:b w:val="0"/>
          <w:bCs/>
          <w:color w:val="222222"/>
          <w:sz w:val="32"/>
          <w:szCs w:val="32"/>
        </w:rPr>
        <w:t>管理。</w:t>
      </w: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二、主动公开政府信息情况</w:t>
      </w:r>
    </w:p>
    <w:tbl>
      <w:tblPr>
        <w:tblStyle w:val="3"/>
        <w:tblW w:w="8613" w:type="dxa"/>
        <w:jc w:val="center"/>
        <w:tblLayout w:type="fixed"/>
        <w:tblCellMar>
          <w:top w:w="0" w:type="dxa"/>
          <w:left w:w="108" w:type="dxa"/>
          <w:bottom w:w="0" w:type="dxa"/>
          <w:right w:w="108" w:type="dxa"/>
        </w:tblCellMar>
      </w:tblPr>
      <w:tblGrid>
        <w:gridCol w:w="1572"/>
        <w:gridCol w:w="1230"/>
        <w:gridCol w:w="2175"/>
        <w:gridCol w:w="1887"/>
        <w:gridCol w:w="1749"/>
      </w:tblGrid>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spacing w:line="520" w:lineRule="exact"/>
              <w:jc w:val="center"/>
            </w:pPr>
            <w:r>
              <w:rPr>
                <w:rFonts w:hint="eastAsia"/>
              </w:rPr>
              <w:t>第二十条第（一）项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本年新制作数量</w:t>
            </w:r>
          </w:p>
        </w:tc>
        <w:tc>
          <w:tcPr>
            <w:tcW w:w="1887"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本年新公开数量</w:t>
            </w:r>
          </w:p>
        </w:tc>
        <w:tc>
          <w:tcPr>
            <w:tcW w:w="1749"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对外公开总数量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规章</w:t>
            </w:r>
          </w:p>
        </w:tc>
        <w:tc>
          <w:tcPr>
            <w:tcW w:w="2175"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887"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749"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规范性文件</w:t>
            </w:r>
          </w:p>
        </w:tc>
        <w:tc>
          <w:tcPr>
            <w:tcW w:w="2175" w:type="dxa"/>
            <w:tcBorders>
              <w:top w:val="nil"/>
              <w:left w:val="nil"/>
              <w:bottom w:val="single" w:color="auto" w:sz="4" w:space="0"/>
              <w:right w:val="single" w:color="auto" w:sz="4" w:space="0"/>
            </w:tcBorders>
            <w:vAlign w:val="center"/>
          </w:tcPr>
          <w:p>
            <w:pPr>
              <w:spacing w:line="520" w:lineRule="exact"/>
              <w:jc w:val="center"/>
              <w:rPr>
                <w:rFonts w:hint="eastAsia" w:eastAsiaTheme="minorEastAsia"/>
                <w:lang w:eastAsia="zh-CN"/>
              </w:rPr>
            </w:pPr>
            <w:r>
              <w:rPr>
                <w:rFonts w:hint="eastAsia"/>
                <w:lang w:val="en-US" w:eastAsia="zh-CN"/>
              </w:rPr>
              <w:t>2</w:t>
            </w:r>
          </w:p>
        </w:tc>
        <w:tc>
          <w:tcPr>
            <w:tcW w:w="1887" w:type="dxa"/>
            <w:tcBorders>
              <w:top w:val="nil"/>
              <w:left w:val="nil"/>
              <w:bottom w:val="single" w:color="auto" w:sz="4" w:space="0"/>
              <w:right w:val="single" w:color="auto" w:sz="4" w:space="0"/>
            </w:tcBorders>
            <w:vAlign w:val="center"/>
          </w:tcPr>
          <w:p>
            <w:pPr>
              <w:spacing w:line="520" w:lineRule="exact"/>
              <w:jc w:val="center"/>
              <w:rPr>
                <w:rFonts w:hint="eastAsia" w:eastAsiaTheme="minorEastAsia"/>
                <w:lang w:eastAsia="zh-CN"/>
              </w:rPr>
            </w:pPr>
            <w:r>
              <w:rPr>
                <w:rFonts w:hint="eastAsia"/>
                <w:lang w:val="en-US" w:eastAsia="zh-CN"/>
              </w:rPr>
              <w:t>2</w:t>
            </w:r>
          </w:p>
        </w:tc>
        <w:tc>
          <w:tcPr>
            <w:tcW w:w="1749" w:type="dxa"/>
            <w:tcBorders>
              <w:top w:val="nil"/>
              <w:left w:val="nil"/>
              <w:bottom w:val="single" w:color="auto" w:sz="4" w:space="0"/>
              <w:right w:val="single" w:color="auto" w:sz="4" w:space="0"/>
            </w:tcBorders>
            <w:vAlign w:val="center"/>
          </w:tcPr>
          <w:p>
            <w:pPr>
              <w:spacing w:line="520" w:lineRule="exact"/>
              <w:jc w:val="center"/>
              <w:rPr>
                <w:rFonts w:hint="default" w:eastAsiaTheme="minorEastAsia"/>
                <w:lang w:val="en-US" w:eastAsia="zh-CN"/>
              </w:rPr>
            </w:pPr>
            <w:r>
              <w:rPr>
                <w:rFonts w:hint="eastAsia"/>
                <w:lang w:val="en-US" w:eastAsia="zh-CN"/>
              </w:rPr>
              <w:t>170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spacing w:line="520" w:lineRule="exact"/>
              <w:jc w:val="center"/>
            </w:pPr>
            <w:r>
              <w:rPr>
                <w:rFonts w:hint="eastAsia"/>
              </w:rPr>
              <w:t>第二十条第（五）项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行政许可</w:t>
            </w:r>
          </w:p>
        </w:tc>
        <w:tc>
          <w:tcPr>
            <w:tcW w:w="2175" w:type="dxa"/>
            <w:tcBorders>
              <w:top w:val="nil"/>
              <w:left w:val="nil"/>
              <w:bottom w:val="single" w:color="auto" w:sz="4" w:space="0"/>
              <w:right w:val="single" w:color="auto" w:sz="4" w:space="0"/>
            </w:tcBorders>
            <w:vAlign w:val="center"/>
          </w:tcPr>
          <w:p>
            <w:pPr>
              <w:spacing w:line="520" w:lineRule="exact"/>
              <w:jc w:val="center"/>
            </w:pPr>
            <w:r>
              <w:rPr>
                <w:rFonts w:hint="eastAsia"/>
              </w:rPr>
              <w:t>39</w:t>
            </w:r>
          </w:p>
        </w:tc>
        <w:tc>
          <w:tcPr>
            <w:tcW w:w="1887"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749" w:type="dxa"/>
            <w:tcBorders>
              <w:top w:val="nil"/>
              <w:left w:val="nil"/>
              <w:bottom w:val="single" w:color="auto" w:sz="4" w:space="0"/>
              <w:right w:val="single" w:color="auto" w:sz="4" w:space="0"/>
            </w:tcBorders>
            <w:vAlign w:val="center"/>
          </w:tcPr>
          <w:p>
            <w:pPr>
              <w:spacing w:line="520" w:lineRule="exact"/>
              <w:jc w:val="center"/>
              <w:rPr>
                <w:rFonts w:hint="default" w:eastAsiaTheme="minorEastAsia"/>
                <w:lang w:val="en-US" w:eastAsia="zh-CN"/>
              </w:rPr>
            </w:pPr>
            <w:r>
              <w:rPr>
                <w:rFonts w:hint="eastAsia"/>
                <w:lang w:val="en-US" w:eastAsia="zh-CN"/>
              </w:rPr>
              <w:t>4333</w:t>
            </w:r>
          </w:p>
        </w:tc>
      </w:tr>
      <w:tr>
        <w:tblPrEx>
          <w:tblCellMar>
            <w:top w:w="0" w:type="dxa"/>
            <w:left w:w="108" w:type="dxa"/>
            <w:bottom w:w="0" w:type="dxa"/>
            <w:right w:w="108" w:type="dxa"/>
          </w:tblCellMar>
        </w:tblPrEx>
        <w:trPr>
          <w:trHeight w:val="454" w:hRule="atLeast"/>
          <w:jc w:val="center"/>
        </w:trPr>
        <w:tc>
          <w:tcPr>
            <w:tcW w:w="1572" w:type="dxa"/>
            <w:vMerge w:val="restart"/>
            <w:tcBorders>
              <w:top w:val="nil"/>
              <w:left w:val="single" w:color="auto" w:sz="4" w:space="0"/>
              <w:right w:val="single" w:color="auto" w:sz="4" w:space="0"/>
            </w:tcBorders>
            <w:shd w:val="clear" w:color="auto" w:fill="9CC2E5"/>
            <w:vAlign w:val="center"/>
          </w:tcPr>
          <w:p>
            <w:pPr>
              <w:spacing w:line="520" w:lineRule="exact"/>
              <w:jc w:val="center"/>
            </w:pPr>
            <w:r>
              <w:rPr>
                <w:rFonts w:hint="eastAsia"/>
              </w:rPr>
              <w:t>其他对外管理服务事项</w:t>
            </w:r>
          </w:p>
        </w:tc>
        <w:tc>
          <w:tcPr>
            <w:tcW w:w="1230" w:type="dxa"/>
            <w:tcBorders>
              <w:top w:val="nil"/>
              <w:left w:val="single" w:color="auto" w:sz="4" w:space="0"/>
              <w:bottom w:val="single" w:color="000000" w:sz="4" w:space="0"/>
              <w:right w:val="single" w:color="auto" w:sz="4" w:space="0"/>
            </w:tcBorders>
            <w:shd w:val="clear" w:color="auto" w:fill="9CC2E5"/>
            <w:vAlign w:val="center"/>
          </w:tcPr>
          <w:p>
            <w:pPr>
              <w:spacing w:line="520" w:lineRule="exact"/>
              <w:jc w:val="center"/>
            </w:pPr>
            <w:r>
              <w:rPr>
                <w:rFonts w:hint="eastAsia"/>
              </w:rPr>
              <w:t>行政</w:t>
            </w:r>
            <w:r>
              <w:t>检查</w:t>
            </w:r>
          </w:p>
        </w:tc>
        <w:tc>
          <w:tcPr>
            <w:tcW w:w="2175" w:type="dxa"/>
            <w:tcBorders>
              <w:top w:val="nil"/>
              <w:left w:val="nil"/>
              <w:bottom w:val="single" w:color="auto" w:sz="4" w:space="0"/>
              <w:right w:val="single" w:color="auto" w:sz="4" w:space="0"/>
            </w:tcBorders>
            <w:vAlign w:val="center"/>
          </w:tcPr>
          <w:p>
            <w:pPr>
              <w:jc w:val="center"/>
            </w:pPr>
            <w:r>
              <w:rPr>
                <w:rFonts w:hint="eastAsia"/>
                <w:lang w:val="en-US" w:eastAsia="zh-CN"/>
              </w:rPr>
              <w:t>8</w:t>
            </w:r>
          </w:p>
        </w:tc>
        <w:tc>
          <w:tcPr>
            <w:tcW w:w="1887" w:type="dxa"/>
            <w:tcBorders>
              <w:top w:val="nil"/>
              <w:left w:val="nil"/>
              <w:bottom w:val="single" w:color="auto" w:sz="4" w:space="0"/>
              <w:right w:val="single" w:color="auto" w:sz="4" w:space="0"/>
            </w:tcBorders>
            <w:vAlign w:val="center"/>
          </w:tcPr>
          <w:p>
            <w:pPr>
              <w:jc w:val="center"/>
            </w:pPr>
            <w:r>
              <w:rPr>
                <w:rFonts w:hint="eastAsia" w:ascii="Calibri" w:hAnsi="仿宋_GB2312" w:eastAsia="仿宋_GB2312" w:cs="仿宋_GB2312"/>
                <w:sz w:val="21"/>
                <w:szCs w:val="21"/>
              </w:rPr>
              <w:t>-</w:t>
            </w:r>
            <w:r>
              <w:rPr>
                <w:rFonts w:hint="eastAsia" w:ascii="Calibri" w:hAnsi="仿宋_GB2312" w:eastAsia="仿宋_GB2312" w:cs="仿宋_GB2312"/>
                <w:sz w:val="21"/>
                <w:szCs w:val="21"/>
                <w:lang w:val="en-US" w:eastAsia="zh-CN"/>
              </w:rPr>
              <w:t>5</w:t>
            </w:r>
          </w:p>
        </w:tc>
        <w:tc>
          <w:tcPr>
            <w:tcW w:w="1749" w:type="dxa"/>
            <w:tcBorders>
              <w:top w:val="nil"/>
              <w:left w:val="nil"/>
              <w:bottom w:val="single" w:color="auto" w:sz="4" w:space="0"/>
              <w:right w:val="single" w:color="auto" w:sz="4" w:space="0"/>
            </w:tcBorders>
            <w:vAlign w:val="center"/>
          </w:tcPr>
          <w:p>
            <w:pPr>
              <w:jc w:val="center"/>
            </w:pPr>
            <w:r>
              <w:rPr>
                <w:rFonts w:hint="eastAsia"/>
                <w:lang w:val="en-US" w:eastAsia="zh-CN"/>
              </w:rPr>
              <w:t>814</w:t>
            </w:r>
          </w:p>
        </w:tc>
      </w:tr>
      <w:tr>
        <w:tblPrEx>
          <w:tblCellMar>
            <w:top w:w="0" w:type="dxa"/>
            <w:left w:w="108" w:type="dxa"/>
            <w:bottom w:w="0" w:type="dxa"/>
            <w:right w:w="108" w:type="dxa"/>
          </w:tblCellMar>
        </w:tblPrEx>
        <w:trPr>
          <w:trHeight w:val="454" w:hRule="atLeast"/>
          <w:jc w:val="center"/>
        </w:trPr>
        <w:tc>
          <w:tcPr>
            <w:tcW w:w="1572" w:type="dxa"/>
            <w:vMerge w:val="continue"/>
            <w:tcBorders>
              <w:left w:val="single" w:color="auto" w:sz="4" w:space="0"/>
              <w:bottom w:val="single" w:color="000000" w:sz="4" w:space="0"/>
              <w:right w:val="single" w:color="auto" w:sz="4" w:space="0"/>
            </w:tcBorders>
            <w:shd w:val="clear" w:color="auto" w:fill="9CC2E5"/>
            <w:vAlign w:val="center"/>
          </w:tcPr>
          <w:p>
            <w:pPr>
              <w:spacing w:line="520" w:lineRule="exact"/>
              <w:jc w:val="center"/>
            </w:pPr>
          </w:p>
        </w:tc>
        <w:tc>
          <w:tcPr>
            <w:tcW w:w="1230" w:type="dxa"/>
            <w:tcBorders>
              <w:top w:val="nil"/>
              <w:left w:val="single" w:color="auto" w:sz="4" w:space="0"/>
              <w:bottom w:val="single" w:color="000000" w:sz="4" w:space="0"/>
              <w:right w:val="single" w:color="auto" w:sz="4" w:space="0"/>
            </w:tcBorders>
            <w:shd w:val="clear" w:color="auto" w:fill="9CC2E5"/>
            <w:vAlign w:val="center"/>
          </w:tcPr>
          <w:p>
            <w:pPr>
              <w:spacing w:line="520" w:lineRule="exact"/>
              <w:jc w:val="center"/>
            </w:pPr>
            <w:r>
              <w:rPr>
                <w:rFonts w:hint="eastAsia"/>
              </w:rPr>
              <w:t>行政</w:t>
            </w:r>
            <w:r>
              <w:t>确认</w:t>
            </w:r>
          </w:p>
        </w:tc>
        <w:tc>
          <w:tcPr>
            <w:tcW w:w="2175"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887"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749"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spacing w:line="520" w:lineRule="exact"/>
              <w:jc w:val="center"/>
            </w:pPr>
            <w:r>
              <w:rPr>
                <w:rFonts w:hint="eastAsia"/>
              </w:rPr>
              <w:t>第二十条第（六）项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上一年项目数量</w:t>
            </w:r>
          </w:p>
        </w:tc>
        <w:tc>
          <w:tcPr>
            <w:tcW w:w="1887"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本年增/减</w:t>
            </w:r>
          </w:p>
        </w:tc>
        <w:tc>
          <w:tcPr>
            <w:tcW w:w="1749"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处理决定数量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行政处罚</w:t>
            </w:r>
          </w:p>
        </w:tc>
        <w:tc>
          <w:tcPr>
            <w:tcW w:w="2175" w:type="dxa"/>
            <w:tcBorders>
              <w:top w:val="nil"/>
              <w:left w:val="nil"/>
              <w:bottom w:val="single" w:color="auto" w:sz="4" w:space="0"/>
              <w:right w:val="single" w:color="auto" w:sz="4" w:space="0"/>
            </w:tcBorders>
            <w:vAlign w:val="center"/>
          </w:tcPr>
          <w:p>
            <w:pPr>
              <w:spacing w:line="520" w:lineRule="exact"/>
              <w:jc w:val="center"/>
            </w:pPr>
            <w:r>
              <w:rPr>
                <w:rFonts w:hint="eastAsia"/>
              </w:rPr>
              <w:t>91</w:t>
            </w:r>
          </w:p>
        </w:tc>
        <w:tc>
          <w:tcPr>
            <w:tcW w:w="1887" w:type="dxa"/>
            <w:tcBorders>
              <w:top w:val="nil"/>
              <w:left w:val="nil"/>
              <w:bottom w:val="single" w:color="auto" w:sz="4" w:space="0"/>
              <w:right w:val="single" w:color="auto" w:sz="4" w:space="0"/>
            </w:tcBorders>
            <w:vAlign w:val="center"/>
          </w:tcPr>
          <w:p>
            <w:pPr>
              <w:spacing w:line="520" w:lineRule="exact"/>
              <w:jc w:val="center"/>
              <w:rPr>
                <w:rFonts w:hint="default" w:eastAsiaTheme="minorEastAsia"/>
                <w:lang w:val="en-US" w:eastAsia="zh-CN"/>
              </w:rPr>
            </w:pPr>
            <w:r>
              <w:rPr>
                <w:rFonts w:hint="eastAsia"/>
                <w:lang w:val="en-US" w:eastAsia="zh-CN"/>
              </w:rPr>
              <w:t>-8</w:t>
            </w:r>
          </w:p>
        </w:tc>
        <w:tc>
          <w:tcPr>
            <w:tcW w:w="1749" w:type="dxa"/>
            <w:tcBorders>
              <w:top w:val="nil"/>
              <w:left w:val="nil"/>
              <w:bottom w:val="single" w:color="auto" w:sz="4" w:space="0"/>
              <w:right w:val="single" w:color="auto" w:sz="4" w:space="0"/>
            </w:tcBorders>
            <w:vAlign w:val="center"/>
          </w:tcPr>
          <w:p>
            <w:pPr>
              <w:spacing w:line="520" w:lineRule="exact"/>
              <w:jc w:val="center"/>
            </w:pPr>
            <w:r>
              <w:rPr>
                <w:rFonts w:hint="eastAsia"/>
              </w:rPr>
              <w:t>13</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行政强制</w:t>
            </w:r>
          </w:p>
        </w:tc>
        <w:tc>
          <w:tcPr>
            <w:tcW w:w="2175"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887"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c>
          <w:tcPr>
            <w:tcW w:w="1749" w:type="dxa"/>
            <w:tcBorders>
              <w:top w:val="nil"/>
              <w:left w:val="nil"/>
              <w:bottom w:val="single" w:color="auto" w:sz="4" w:space="0"/>
              <w:right w:val="single" w:color="auto" w:sz="4" w:space="0"/>
            </w:tcBorders>
            <w:vAlign w:val="center"/>
          </w:tcPr>
          <w:p>
            <w:pPr>
              <w:spacing w:line="520" w:lineRule="exact"/>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000000" w:sz="8" w:space="0"/>
              <w:right w:val="single" w:color="auto" w:sz="4" w:space="0"/>
            </w:tcBorders>
            <w:shd w:val="clear" w:color="auto" w:fill="5B9BD5"/>
            <w:vAlign w:val="center"/>
          </w:tcPr>
          <w:p>
            <w:pPr>
              <w:spacing w:line="520" w:lineRule="exact"/>
              <w:jc w:val="center"/>
            </w:pPr>
            <w:r>
              <w:rPr>
                <w:rFonts w:hint="eastAsia"/>
              </w:rPr>
              <w:t>第二十条第（八）项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000000" w:sz="8"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信息内容</w:t>
            </w:r>
          </w:p>
        </w:tc>
        <w:tc>
          <w:tcPr>
            <w:tcW w:w="2175" w:type="dxa"/>
            <w:tcBorders>
              <w:top w:val="single" w:color="000000" w:sz="8" w:space="0"/>
              <w:left w:val="nil"/>
              <w:bottom w:val="single" w:color="auto" w:sz="4" w:space="0"/>
              <w:right w:val="single" w:color="auto" w:sz="4" w:space="0"/>
            </w:tcBorders>
            <w:shd w:val="clear" w:color="auto" w:fill="BDD6EE"/>
            <w:vAlign w:val="center"/>
          </w:tcPr>
          <w:p>
            <w:pPr>
              <w:spacing w:line="520" w:lineRule="exact"/>
              <w:jc w:val="center"/>
            </w:pPr>
            <w:r>
              <w:rPr>
                <w:rFonts w:hint="eastAsia"/>
              </w:rPr>
              <w:t>上一年项目数量</w:t>
            </w:r>
          </w:p>
        </w:tc>
        <w:tc>
          <w:tcPr>
            <w:tcW w:w="3636" w:type="dxa"/>
            <w:gridSpan w:val="2"/>
            <w:tcBorders>
              <w:top w:val="single" w:color="000000" w:sz="8" w:space="0"/>
              <w:left w:val="nil"/>
              <w:bottom w:val="single" w:color="auto" w:sz="4" w:space="0"/>
              <w:right w:val="single" w:color="000000" w:sz="4" w:space="0"/>
            </w:tcBorders>
            <w:shd w:val="clear" w:color="auto" w:fill="BDD6EE"/>
            <w:vAlign w:val="center"/>
          </w:tcPr>
          <w:p>
            <w:pPr>
              <w:spacing w:line="520" w:lineRule="exact"/>
              <w:jc w:val="center"/>
            </w:pPr>
            <w:r>
              <w:rPr>
                <w:rFonts w:hint="eastAsia"/>
              </w:rPr>
              <w:t>本年增/减</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行政事业性收费</w:t>
            </w:r>
          </w:p>
        </w:tc>
        <w:tc>
          <w:tcPr>
            <w:tcW w:w="2175" w:type="dxa"/>
            <w:tcBorders>
              <w:top w:val="single" w:color="auto" w:sz="4" w:space="0"/>
              <w:left w:val="nil"/>
              <w:bottom w:val="single" w:color="auto" w:sz="4" w:space="0"/>
              <w:right w:val="single" w:color="auto" w:sz="4" w:space="0"/>
            </w:tcBorders>
            <w:vAlign w:val="center"/>
          </w:tcPr>
          <w:p>
            <w:pPr>
              <w:spacing w:line="520" w:lineRule="exact"/>
              <w:jc w:val="center"/>
            </w:pPr>
            <w:r>
              <w:rPr>
                <w:rFonts w:hint="eastAsia"/>
              </w:rPr>
              <w:t>1</w:t>
            </w:r>
          </w:p>
        </w:tc>
        <w:tc>
          <w:tcPr>
            <w:tcW w:w="3636" w:type="dxa"/>
            <w:gridSpan w:val="2"/>
            <w:tcBorders>
              <w:top w:val="single" w:color="auto" w:sz="4" w:space="0"/>
              <w:left w:val="nil"/>
              <w:bottom w:val="single" w:color="auto" w:sz="4" w:space="0"/>
              <w:right w:val="single" w:color="000000" w:sz="4" w:space="0"/>
            </w:tcBorders>
            <w:vAlign w:val="center"/>
          </w:tcPr>
          <w:p>
            <w:pPr>
              <w:spacing w:line="520" w:lineRule="exact"/>
              <w:jc w:val="center"/>
            </w:pPr>
            <w:r>
              <w:rPr>
                <w:rFonts w:hint="eastAsia"/>
              </w:rPr>
              <w:t>0</w:t>
            </w:r>
          </w:p>
        </w:tc>
      </w:tr>
      <w:tr>
        <w:tblPrEx>
          <w:tblCellMar>
            <w:top w:w="0" w:type="dxa"/>
            <w:left w:w="108" w:type="dxa"/>
            <w:bottom w:w="0" w:type="dxa"/>
            <w:right w:w="108" w:type="dxa"/>
          </w:tblCellMar>
        </w:tblPrEx>
        <w:trPr>
          <w:trHeight w:val="454" w:hRule="atLeast"/>
          <w:jc w:val="center"/>
        </w:trPr>
        <w:tc>
          <w:tcPr>
            <w:tcW w:w="8613" w:type="dxa"/>
            <w:gridSpan w:val="5"/>
            <w:tcBorders>
              <w:top w:val="single" w:color="auto" w:sz="4" w:space="0"/>
              <w:left w:val="single" w:color="auto" w:sz="4" w:space="0"/>
              <w:bottom w:val="single" w:color="auto" w:sz="4" w:space="0"/>
              <w:right w:val="single" w:color="auto" w:sz="4" w:space="0"/>
            </w:tcBorders>
            <w:shd w:val="clear" w:color="auto" w:fill="5B9BD5"/>
            <w:vAlign w:val="center"/>
          </w:tcPr>
          <w:p>
            <w:pPr>
              <w:spacing w:line="520" w:lineRule="exact"/>
              <w:jc w:val="center"/>
            </w:pPr>
            <w:r>
              <w:rPr>
                <w:rFonts w:hint="eastAsia"/>
              </w:rPr>
              <w:t>第二十条第（九）项</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信息内容</w:t>
            </w:r>
          </w:p>
        </w:tc>
        <w:tc>
          <w:tcPr>
            <w:tcW w:w="2175" w:type="dxa"/>
            <w:tcBorders>
              <w:top w:val="nil"/>
              <w:left w:val="nil"/>
              <w:bottom w:val="single" w:color="auto" w:sz="4" w:space="0"/>
              <w:right w:val="single" w:color="auto" w:sz="4" w:space="0"/>
            </w:tcBorders>
            <w:shd w:val="clear" w:color="auto" w:fill="BDD6EE"/>
            <w:vAlign w:val="center"/>
          </w:tcPr>
          <w:p>
            <w:pPr>
              <w:spacing w:line="520" w:lineRule="exact"/>
              <w:jc w:val="center"/>
            </w:pPr>
            <w:r>
              <w:rPr>
                <w:rFonts w:hint="eastAsia"/>
              </w:rPr>
              <w:t>采购项目数量</w:t>
            </w:r>
          </w:p>
        </w:tc>
        <w:tc>
          <w:tcPr>
            <w:tcW w:w="3636" w:type="dxa"/>
            <w:gridSpan w:val="2"/>
            <w:tcBorders>
              <w:top w:val="single" w:color="auto" w:sz="4" w:space="0"/>
              <w:left w:val="nil"/>
              <w:bottom w:val="single" w:color="auto" w:sz="4" w:space="0"/>
              <w:right w:val="single" w:color="000000" w:sz="4" w:space="0"/>
            </w:tcBorders>
            <w:shd w:val="clear" w:color="auto" w:fill="BDD6EE"/>
            <w:vAlign w:val="center"/>
          </w:tcPr>
          <w:p>
            <w:pPr>
              <w:spacing w:line="520" w:lineRule="exact"/>
              <w:jc w:val="center"/>
            </w:pPr>
            <w:r>
              <w:rPr>
                <w:rFonts w:hint="eastAsia"/>
              </w:rPr>
              <w:t>采购总金额（万元，保留四位小数）</w:t>
            </w:r>
          </w:p>
        </w:tc>
      </w:tr>
      <w:tr>
        <w:tblPrEx>
          <w:tblCellMar>
            <w:top w:w="0" w:type="dxa"/>
            <w:left w:w="108" w:type="dxa"/>
            <w:bottom w:w="0" w:type="dxa"/>
            <w:right w:w="108" w:type="dxa"/>
          </w:tblCellMar>
        </w:tblPrEx>
        <w:trPr>
          <w:trHeight w:val="454" w:hRule="atLeast"/>
          <w:jc w:val="center"/>
        </w:trPr>
        <w:tc>
          <w:tcPr>
            <w:tcW w:w="2802" w:type="dxa"/>
            <w:gridSpan w:val="2"/>
            <w:tcBorders>
              <w:top w:val="single" w:color="auto" w:sz="4" w:space="0"/>
              <w:left w:val="single" w:color="auto" w:sz="4" w:space="0"/>
              <w:bottom w:val="single" w:color="auto" w:sz="4" w:space="0"/>
              <w:right w:val="single" w:color="000000" w:sz="4" w:space="0"/>
            </w:tcBorders>
            <w:shd w:val="clear" w:color="auto" w:fill="9CC2E5"/>
            <w:vAlign w:val="center"/>
          </w:tcPr>
          <w:p>
            <w:pPr>
              <w:spacing w:line="520" w:lineRule="exact"/>
              <w:jc w:val="center"/>
            </w:pPr>
            <w:r>
              <w:rPr>
                <w:rFonts w:hint="eastAsia"/>
              </w:rPr>
              <w:t>政府集中采购</w:t>
            </w:r>
          </w:p>
        </w:tc>
        <w:tc>
          <w:tcPr>
            <w:tcW w:w="2175" w:type="dxa"/>
            <w:tcBorders>
              <w:top w:val="nil"/>
              <w:left w:val="nil"/>
              <w:bottom w:val="single" w:color="auto" w:sz="4" w:space="0"/>
              <w:right w:val="single" w:color="auto" w:sz="4" w:space="0"/>
            </w:tcBorders>
            <w:vAlign w:val="center"/>
          </w:tcPr>
          <w:p>
            <w:pPr>
              <w:spacing w:line="520" w:lineRule="exact"/>
              <w:jc w:val="center"/>
              <w:rPr>
                <w:rFonts w:eastAsia="宋体"/>
              </w:rPr>
            </w:pPr>
            <w:r>
              <w:rPr>
                <w:rFonts w:hint="eastAsia"/>
              </w:rPr>
              <w:t>52</w:t>
            </w:r>
          </w:p>
        </w:tc>
        <w:tc>
          <w:tcPr>
            <w:tcW w:w="3636" w:type="dxa"/>
            <w:gridSpan w:val="2"/>
            <w:tcBorders>
              <w:top w:val="single" w:color="auto" w:sz="4" w:space="0"/>
              <w:left w:val="nil"/>
              <w:bottom w:val="single" w:color="auto" w:sz="4" w:space="0"/>
              <w:right w:val="single" w:color="000000" w:sz="4" w:space="0"/>
            </w:tcBorders>
            <w:vAlign w:val="center"/>
          </w:tcPr>
          <w:p>
            <w:pPr>
              <w:spacing w:line="520" w:lineRule="exact"/>
              <w:jc w:val="center"/>
              <w:rPr>
                <w:rFonts w:eastAsia="宋体"/>
              </w:rPr>
            </w:pPr>
            <w:r>
              <w:rPr>
                <w:rFonts w:hint="eastAsia"/>
              </w:rPr>
              <w:t>196.8163万元</w:t>
            </w:r>
          </w:p>
        </w:tc>
      </w:tr>
    </w:tbl>
    <w:p>
      <w:pPr>
        <w:spacing w:line="520" w:lineRule="exact"/>
        <w:ind w:firstLine="640" w:firstLineChars="200"/>
        <w:rPr>
          <w:rFonts w:ascii="黑体" w:hAnsi="黑体" w:eastAsia="黑体" w:cs="黑体"/>
          <w:sz w:val="32"/>
          <w:szCs w:val="32"/>
        </w:rPr>
      </w:pPr>
    </w:p>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三、收到和处理政府信息公开申请情况</w:t>
      </w:r>
    </w:p>
    <w:tbl>
      <w:tblPr>
        <w:tblStyle w:val="3"/>
        <w:tblW w:w="90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399"/>
        <w:gridCol w:w="856"/>
        <w:gridCol w:w="2957"/>
        <w:gridCol w:w="709"/>
        <w:gridCol w:w="709"/>
        <w:gridCol w:w="709"/>
        <w:gridCol w:w="708"/>
        <w:gridCol w:w="709"/>
        <w:gridCol w:w="567"/>
        <w:gridCol w:w="7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82" w:hRule="atLeast"/>
          <w:jc w:val="center"/>
        </w:trPr>
        <w:tc>
          <w:tcPr>
            <w:tcW w:w="4212" w:type="dxa"/>
            <w:gridSpan w:val="3"/>
            <w:vMerge w:val="restart"/>
            <w:shd w:val="clear" w:color="auto" w:fill="5B9BD5"/>
            <w:tcMar>
              <w:top w:w="0" w:type="dxa"/>
              <w:left w:w="108" w:type="dxa"/>
              <w:bottom w:w="0" w:type="dxa"/>
              <w:right w:w="108" w:type="dxa"/>
            </w:tcMar>
            <w:vAlign w:val="center"/>
          </w:tcPr>
          <w:p>
            <w:pPr>
              <w:spacing w:line="520" w:lineRule="exact"/>
            </w:pPr>
            <w:r>
              <w:rPr>
                <w:rFonts w:hint="eastAsia"/>
              </w:rPr>
              <w:t>（本列数据的勾稽关系为：第一项加第二项之和，等于第三项加第四项之和）</w:t>
            </w:r>
          </w:p>
        </w:tc>
        <w:tc>
          <w:tcPr>
            <w:tcW w:w="4820" w:type="dxa"/>
            <w:gridSpan w:val="7"/>
            <w:shd w:val="clear" w:color="auto" w:fill="5B9BD5"/>
            <w:tcMar>
              <w:top w:w="0" w:type="dxa"/>
              <w:left w:w="108" w:type="dxa"/>
              <w:bottom w:w="0" w:type="dxa"/>
              <w:right w:w="108" w:type="dxa"/>
            </w:tcMar>
            <w:vAlign w:val="center"/>
          </w:tcPr>
          <w:p>
            <w:pPr>
              <w:spacing w:line="520" w:lineRule="exact"/>
              <w:jc w:val="center"/>
            </w:pPr>
            <w:r>
              <w:rPr>
                <w:rFonts w:hint="eastAsia"/>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244" w:hRule="atLeast"/>
          <w:jc w:val="center"/>
        </w:trPr>
        <w:tc>
          <w:tcPr>
            <w:tcW w:w="4212" w:type="dxa"/>
            <w:gridSpan w:val="3"/>
            <w:vMerge w:val="continue"/>
            <w:shd w:val="clear" w:color="auto" w:fill="5B9BD5"/>
            <w:tcMar>
              <w:top w:w="0" w:type="dxa"/>
              <w:left w:w="108" w:type="dxa"/>
              <w:bottom w:w="0" w:type="dxa"/>
              <w:right w:w="108" w:type="dxa"/>
            </w:tcMar>
            <w:vAlign w:val="center"/>
          </w:tcPr>
          <w:p>
            <w:pPr>
              <w:spacing w:line="520" w:lineRule="exact"/>
            </w:pPr>
          </w:p>
        </w:tc>
        <w:tc>
          <w:tcPr>
            <w:tcW w:w="709" w:type="dxa"/>
            <w:vMerge w:val="restart"/>
            <w:shd w:val="clear" w:color="auto" w:fill="5B9BD5"/>
            <w:tcMar>
              <w:top w:w="0" w:type="dxa"/>
              <w:left w:w="108" w:type="dxa"/>
              <w:bottom w:w="0" w:type="dxa"/>
              <w:right w:w="108" w:type="dxa"/>
            </w:tcMar>
            <w:vAlign w:val="center"/>
          </w:tcPr>
          <w:p>
            <w:pPr>
              <w:spacing w:line="520" w:lineRule="exact"/>
              <w:jc w:val="center"/>
            </w:pPr>
            <w:r>
              <w:rPr>
                <w:rFonts w:hint="eastAsia"/>
              </w:rPr>
              <w:t>自然人</w:t>
            </w:r>
          </w:p>
        </w:tc>
        <w:tc>
          <w:tcPr>
            <w:tcW w:w="3402" w:type="dxa"/>
            <w:gridSpan w:val="5"/>
            <w:shd w:val="clear" w:color="auto" w:fill="5B9BD5"/>
            <w:tcMar>
              <w:top w:w="0" w:type="dxa"/>
              <w:left w:w="108" w:type="dxa"/>
              <w:bottom w:w="0" w:type="dxa"/>
              <w:right w:w="108" w:type="dxa"/>
            </w:tcMar>
            <w:vAlign w:val="center"/>
          </w:tcPr>
          <w:p>
            <w:pPr>
              <w:spacing w:line="520" w:lineRule="exact"/>
              <w:jc w:val="center"/>
            </w:pPr>
            <w:r>
              <w:rPr>
                <w:rFonts w:hint="eastAsia"/>
              </w:rPr>
              <w:t>法人或其他组织</w:t>
            </w:r>
          </w:p>
        </w:tc>
        <w:tc>
          <w:tcPr>
            <w:tcW w:w="709" w:type="dxa"/>
            <w:vMerge w:val="restart"/>
            <w:shd w:val="clear" w:color="auto" w:fill="5B9BD5"/>
            <w:tcMar>
              <w:top w:w="0" w:type="dxa"/>
              <w:left w:w="108" w:type="dxa"/>
              <w:bottom w:w="0" w:type="dxa"/>
              <w:right w:w="108" w:type="dxa"/>
            </w:tcMar>
            <w:vAlign w:val="center"/>
          </w:tcPr>
          <w:p>
            <w:pPr>
              <w:spacing w:line="520" w:lineRule="exact"/>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vMerge w:val="continue"/>
            <w:shd w:val="clear" w:color="auto" w:fill="auto"/>
            <w:tcMar>
              <w:top w:w="0" w:type="dxa"/>
              <w:left w:w="108" w:type="dxa"/>
              <w:bottom w:w="0" w:type="dxa"/>
              <w:right w:w="108" w:type="dxa"/>
            </w:tcMar>
            <w:vAlign w:val="center"/>
          </w:tcPr>
          <w:p>
            <w:pPr>
              <w:spacing w:line="520" w:lineRule="exact"/>
            </w:pPr>
          </w:p>
        </w:tc>
        <w:tc>
          <w:tcPr>
            <w:tcW w:w="709" w:type="dxa"/>
            <w:vMerge w:val="continue"/>
            <w:shd w:val="clear" w:color="auto" w:fill="auto"/>
            <w:tcMar>
              <w:top w:w="0" w:type="dxa"/>
              <w:left w:w="108" w:type="dxa"/>
              <w:bottom w:w="0" w:type="dxa"/>
              <w:right w:w="108" w:type="dxa"/>
            </w:tcMar>
            <w:vAlign w:val="center"/>
          </w:tcPr>
          <w:p>
            <w:pPr>
              <w:spacing w:line="520" w:lineRule="exact"/>
              <w:jc w:val="center"/>
            </w:pPr>
          </w:p>
        </w:tc>
        <w:tc>
          <w:tcPr>
            <w:tcW w:w="709" w:type="dxa"/>
            <w:shd w:val="clear" w:color="auto" w:fill="5B9BD5"/>
            <w:tcMar>
              <w:top w:w="0" w:type="dxa"/>
              <w:left w:w="108" w:type="dxa"/>
              <w:bottom w:w="0" w:type="dxa"/>
              <w:right w:w="108" w:type="dxa"/>
            </w:tcMar>
            <w:vAlign w:val="center"/>
          </w:tcPr>
          <w:p>
            <w:pPr>
              <w:spacing w:line="520" w:lineRule="exact"/>
              <w:jc w:val="center"/>
            </w:pPr>
            <w:r>
              <w:rPr>
                <w:rFonts w:hint="eastAsia"/>
              </w:rPr>
              <w:t>商业企业</w:t>
            </w:r>
          </w:p>
        </w:tc>
        <w:tc>
          <w:tcPr>
            <w:tcW w:w="709" w:type="dxa"/>
            <w:shd w:val="clear" w:color="auto" w:fill="5B9BD5"/>
            <w:tcMar>
              <w:top w:w="0" w:type="dxa"/>
              <w:left w:w="108" w:type="dxa"/>
              <w:bottom w:w="0" w:type="dxa"/>
              <w:right w:w="108" w:type="dxa"/>
            </w:tcMar>
            <w:vAlign w:val="center"/>
          </w:tcPr>
          <w:p>
            <w:pPr>
              <w:spacing w:line="520" w:lineRule="exact"/>
              <w:jc w:val="center"/>
            </w:pPr>
            <w:r>
              <w:rPr>
                <w:rFonts w:hint="eastAsia"/>
              </w:rPr>
              <w:t>科研机构</w:t>
            </w:r>
          </w:p>
        </w:tc>
        <w:tc>
          <w:tcPr>
            <w:tcW w:w="708" w:type="dxa"/>
            <w:shd w:val="clear" w:color="auto" w:fill="5B9BD5"/>
            <w:tcMar>
              <w:top w:w="0" w:type="dxa"/>
              <w:left w:w="108" w:type="dxa"/>
              <w:bottom w:w="0" w:type="dxa"/>
              <w:right w:w="108" w:type="dxa"/>
            </w:tcMar>
            <w:vAlign w:val="center"/>
          </w:tcPr>
          <w:p>
            <w:pPr>
              <w:spacing w:line="520" w:lineRule="exact"/>
              <w:jc w:val="center"/>
            </w:pPr>
            <w:r>
              <w:rPr>
                <w:rFonts w:hint="eastAsia"/>
              </w:rPr>
              <w:t>社会公益组织</w:t>
            </w:r>
          </w:p>
        </w:tc>
        <w:tc>
          <w:tcPr>
            <w:tcW w:w="709" w:type="dxa"/>
            <w:shd w:val="clear" w:color="auto" w:fill="5B9BD5"/>
            <w:tcMar>
              <w:top w:w="0" w:type="dxa"/>
              <w:left w:w="108" w:type="dxa"/>
              <w:bottom w:w="0" w:type="dxa"/>
              <w:right w:w="108" w:type="dxa"/>
            </w:tcMar>
            <w:vAlign w:val="center"/>
          </w:tcPr>
          <w:p>
            <w:pPr>
              <w:spacing w:line="520" w:lineRule="exact"/>
              <w:jc w:val="center"/>
            </w:pPr>
            <w:r>
              <w:rPr>
                <w:rFonts w:hint="eastAsia"/>
              </w:rPr>
              <w:t>法律服务机构</w:t>
            </w:r>
          </w:p>
        </w:tc>
        <w:tc>
          <w:tcPr>
            <w:tcW w:w="567" w:type="dxa"/>
            <w:shd w:val="clear" w:color="auto" w:fill="5B9BD5"/>
            <w:tcMar>
              <w:top w:w="0" w:type="dxa"/>
              <w:left w:w="108" w:type="dxa"/>
              <w:bottom w:w="0" w:type="dxa"/>
              <w:right w:w="108" w:type="dxa"/>
            </w:tcMar>
            <w:vAlign w:val="center"/>
          </w:tcPr>
          <w:p>
            <w:pPr>
              <w:spacing w:line="520" w:lineRule="exact"/>
              <w:jc w:val="center"/>
            </w:pPr>
            <w:r>
              <w:rPr>
                <w:rFonts w:hint="eastAsia"/>
              </w:rPr>
              <w:t>其他</w:t>
            </w:r>
          </w:p>
        </w:tc>
        <w:tc>
          <w:tcPr>
            <w:tcW w:w="709" w:type="dxa"/>
            <w:vMerge w:val="continue"/>
            <w:tcMar>
              <w:top w:w="0" w:type="dxa"/>
              <w:left w:w="108" w:type="dxa"/>
              <w:bottom w:w="0" w:type="dxa"/>
              <w:right w:w="108" w:type="dxa"/>
            </w:tcMar>
            <w:vAlign w:val="center"/>
          </w:tcPr>
          <w:p>
            <w:pPr>
              <w:spacing w:line="52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spacing w:line="520" w:lineRule="exact"/>
            </w:pPr>
            <w:r>
              <w:rPr>
                <w:rFonts w:hint="eastAsia"/>
              </w:rPr>
              <w:t>一、本年新收政府信息公开申请数量</w:t>
            </w:r>
          </w:p>
        </w:tc>
        <w:tc>
          <w:tcPr>
            <w:tcW w:w="709" w:type="dxa"/>
            <w:tcMar>
              <w:top w:w="0" w:type="dxa"/>
              <w:left w:w="108" w:type="dxa"/>
              <w:bottom w:w="0" w:type="dxa"/>
              <w:right w:w="108" w:type="dxa"/>
            </w:tcMar>
            <w:vAlign w:val="center"/>
          </w:tcPr>
          <w:p>
            <w:pPr>
              <w:spacing w:line="520" w:lineRule="exact"/>
              <w:jc w:val="center"/>
            </w:pPr>
            <w:r>
              <w:rPr>
                <w:rFonts w:hint="eastAsia"/>
              </w:rPr>
              <w:t>108</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21</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spacing w:line="520" w:lineRule="exact"/>
            </w:pPr>
            <w:r>
              <w:rPr>
                <w:rFonts w:hint="eastAsia"/>
              </w:rPr>
              <w:t>二、上年结转政府信息公开申请数量</w:t>
            </w:r>
          </w:p>
        </w:tc>
        <w:tc>
          <w:tcPr>
            <w:tcW w:w="709" w:type="dxa"/>
            <w:tcMar>
              <w:top w:w="0" w:type="dxa"/>
              <w:left w:w="108" w:type="dxa"/>
              <w:bottom w:w="0" w:type="dxa"/>
              <w:right w:w="108" w:type="dxa"/>
            </w:tcMar>
            <w:vAlign w:val="center"/>
          </w:tcPr>
          <w:p>
            <w:pPr>
              <w:spacing w:line="520" w:lineRule="exact"/>
              <w:jc w:val="center"/>
            </w:pPr>
            <w:r>
              <w:rPr>
                <w:rFonts w:hint="eastAsia"/>
              </w:rPr>
              <w:t>4</w:t>
            </w:r>
          </w:p>
        </w:tc>
        <w:tc>
          <w:tcPr>
            <w:tcW w:w="709" w:type="dxa"/>
            <w:tcMar>
              <w:top w:w="0" w:type="dxa"/>
              <w:left w:w="108" w:type="dxa"/>
              <w:bottom w:w="0" w:type="dxa"/>
              <w:right w:w="108" w:type="dxa"/>
            </w:tcMar>
            <w:vAlign w:val="center"/>
          </w:tcPr>
          <w:p>
            <w:pPr>
              <w:spacing w:line="520" w:lineRule="exact"/>
              <w:jc w:val="center"/>
            </w:pPr>
            <w:r>
              <w:rPr>
                <w:rFonts w:hint="eastAsia"/>
              </w:rPr>
              <w:t>3</w:t>
            </w: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restart"/>
            <w:shd w:val="clear" w:color="auto" w:fill="9CC2E5"/>
            <w:tcMar>
              <w:top w:w="0" w:type="dxa"/>
              <w:left w:w="108" w:type="dxa"/>
              <w:bottom w:w="0" w:type="dxa"/>
              <w:right w:w="108" w:type="dxa"/>
            </w:tcMar>
            <w:vAlign w:val="center"/>
          </w:tcPr>
          <w:p>
            <w:pPr>
              <w:spacing w:line="520" w:lineRule="exact"/>
            </w:pPr>
            <w:r>
              <w:rPr>
                <w:rFonts w:hint="eastAsia"/>
              </w:rPr>
              <w:t>三、本年度办理结果</w:t>
            </w:r>
          </w:p>
        </w:tc>
        <w:tc>
          <w:tcPr>
            <w:tcW w:w="3813" w:type="dxa"/>
            <w:gridSpan w:val="2"/>
            <w:shd w:val="clear" w:color="auto" w:fill="BDD6EE"/>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（一）予以公开</w:t>
            </w:r>
          </w:p>
        </w:tc>
        <w:tc>
          <w:tcPr>
            <w:tcW w:w="709" w:type="dxa"/>
            <w:tcMar>
              <w:top w:w="0" w:type="dxa"/>
              <w:left w:w="108" w:type="dxa"/>
              <w:bottom w:w="0" w:type="dxa"/>
              <w:right w:w="108" w:type="dxa"/>
            </w:tcMar>
            <w:vAlign w:val="center"/>
          </w:tcPr>
          <w:p>
            <w:pPr>
              <w:spacing w:line="520" w:lineRule="exact"/>
              <w:jc w:val="center"/>
            </w:pPr>
            <w:r>
              <w:rPr>
                <w:rFonts w:hint="eastAsia"/>
              </w:rPr>
              <w:t>39</w:t>
            </w:r>
          </w:p>
        </w:tc>
        <w:tc>
          <w:tcPr>
            <w:tcW w:w="709" w:type="dxa"/>
            <w:tcMar>
              <w:top w:w="0" w:type="dxa"/>
              <w:left w:w="108" w:type="dxa"/>
              <w:bottom w:w="0" w:type="dxa"/>
              <w:right w:w="108" w:type="dxa"/>
            </w:tcMar>
            <w:vAlign w:val="center"/>
          </w:tcPr>
          <w:p>
            <w:pPr>
              <w:spacing w:line="520" w:lineRule="exact"/>
              <w:jc w:val="center"/>
            </w:pPr>
            <w:r>
              <w:rPr>
                <w:rFonts w:hint="eastAsia"/>
              </w:rPr>
              <w:t>3</w:t>
            </w: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16</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3813" w:type="dxa"/>
            <w:gridSpan w:val="2"/>
            <w:shd w:val="clear" w:color="auto" w:fill="BDD6EE"/>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（二）部分公开（区分处理的，只计这一情形，不计其他情形）</w:t>
            </w:r>
          </w:p>
        </w:tc>
        <w:tc>
          <w:tcPr>
            <w:tcW w:w="709" w:type="dxa"/>
            <w:tcMar>
              <w:top w:w="0" w:type="dxa"/>
              <w:left w:w="108" w:type="dxa"/>
              <w:bottom w:w="0" w:type="dxa"/>
              <w:right w:w="108" w:type="dxa"/>
            </w:tcMar>
            <w:vAlign w:val="center"/>
          </w:tcPr>
          <w:p>
            <w:pPr>
              <w:spacing w:line="520" w:lineRule="exact"/>
              <w:jc w:val="center"/>
            </w:pPr>
            <w:r>
              <w:rPr>
                <w:rFonts w:hint="eastAsia"/>
              </w:rPr>
              <w:t>25</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restart"/>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r>
              <w:rPr>
                <w:rFonts w:hint="eastAsia" w:ascii="楷体_GB2312" w:eastAsia="楷体_GB2312"/>
              </w:rPr>
              <w:t>（三）不予</w:t>
            </w:r>
          </w:p>
          <w:p>
            <w:pPr>
              <w:spacing w:line="520" w:lineRule="exact"/>
              <w:jc w:val="center"/>
              <w:rPr>
                <w:rFonts w:ascii="楷体_GB2312" w:eastAsia="楷体_GB2312"/>
              </w:rPr>
            </w:pPr>
            <w:r>
              <w:rPr>
                <w:rFonts w:hint="eastAsia" w:ascii="楷体_GB2312" w:eastAsia="楷体_GB2312"/>
              </w:rPr>
              <w:t>公开</w:t>
            </w: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1.属于国家秘密</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2.其他法律行政法规禁止公开</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3.危及“三安全一稳定”</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4.保护第三方合法权益</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5.属于三类内部事务信息</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6.属于四类过程性信息</w:t>
            </w:r>
          </w:p>
        </w:tc>
        <w:tc>
          <w:tcPr>
            <w:tcW w:w="709" w:type="dxa"/>
            <w:tcMar>
              <w:top w:w="0" w:type="dxa"/>
              <w:left w:w="108" w:type="dxa"/>
              <w:bottom w:w="0" w:type="dxa"/>
              <w:right w:w="108" w:type="dxa"/>
            </w:tcMar>
            <w:vAlign w:val="center"/>
          </w:tcPr>
          <w:p>
            <w:pPr>
              <w:spacing w:line="520" w:lineRule="exact"/>
              <w:jc w:val="center"/>
            </w:pPr>
            <w:r>
              <w:rPr>
                <w:rFonts w:hint="eastAsia"/>
              </w:rPr>
              <w:t>4</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7.属于行政执法案卷</w:t>
            </w:r>
          </w:p>
        </w:tc>
        <w:tc>
          <w:tcPr>
            <w:tcW w:w="709" w:type="dxa"/>
            <w:tcMar>
              <w:top w:w="0" w:type="dxa"/>
              <w:left w:w="108" w:type="dxa"/>
              <w:bottom w:w="0" w:type="dxa"/>
              <w:right w:w="108" w:type="dxa"/>
            </w:tcMar>
            <w:vAlign w:val="center"/>
          </w:tcPr>
          <w:p>
            <w:pPr>
              <w:spacing w:line="520" w:lineRule="exact"/>
              <w:jc w:val="center"/>
            </w:pPr>
            <w:r>
              <w:rPr>
                <w:rFonts w:hint="eastAsia"/>
              </w:rPr>
              <w:t>4</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8.属于行政查询事项</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restart"/>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r>
              <w:rPr>
                <w:rFonts w:hint="eastAsia" w:ascii="楷体_GB2312" w:eastAsia="楷体_GB2312"/>
              </w:rPr>
              <w:t>（四）无法</w:t>
            </w:r>
          </w:p>
          <w:p>
            <w:pPr>
              <w:spacing w:line="520" w:lineRule="exact"/>
              <w:jc w:val="center"/>
              <w:rPr>
                <w:rFonts w:ascii="楷体_GB2312" w:eastAsia="楷体_GB2312"/>
              </w:rPr>
            </w:pPr>
            <w:r>
              <w:rPr>
                <w:rFonts w:hint="eastAsia" w:ascii="楷体_GB2312" w:eastAsia="楷体_GB2312"/>
              </w:rPr>
              <w:t>提供</w:t>
            </w: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1.本机关不掌握相关政府信息</w:t>
            </w:r>
          </w:p>
        </w:tc>
        <w:tc>
          <w:tcPr>
            <w:tcW w:w="709" w:type="dxa"/>
            <w:tcMar>
              <w:top w:w="0" w:type="dxa"/>
              <w:left w:w="108" w:type="dxa"/>
              <w:bottom w:w="0" w:type="dxa"/>
              <w:right w:w="108" w:type="dxa"/>
            </w:tcMar>
            <w:vAlign w:val="center"/>
          </w:tcPr>
          <w:p>
            <w:pPr>
              <w:spacing w:line="520" w:lineRule="exact"/>
              <w:jc w:val="center"/>
            </w:pPr>
            <w:r>
              <w:rPr>
                <w:rFonts w:hint="eastAsia"/>
              </w:rPr>
              <w:t>18</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2.没有现成信息需要另行制作</w:t>
            </w:r>
          </w:p>
        </w:tc>
        <w:tc>
          <w:tcPr>
            <w:tcW w:w="709" w:type="dxa"/>
            <w:tcMar>
              <w:top w:w="0" w:type="dxa"/>
              <w:left w:w="108" w:type="dxa"/>
              <w:bottom w:w="0" w:type="dxa"/>
              <w:right w:w="108" w:type="dxa"/>
            </w:tcMar>
            <w:vAlign w:val="center"/>
          </w:tcPr>
          <w:p>
            <w:pPr>
              <w:spacing w:line="520" w:lineRule="exact"/>
              <w:jc w:val="center"/>
            </w:pPr>
            <w:r>
              <w:rPr>
                <w:rFonts w:hint="eastAsia"/>
              </w:rPr>
              <w:t>4</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3.补正后申请内容仍不明确</w:t>
            </w:r>
          </w:p>
        </w:tc>
        <w:tc>
          <w:tcPr>
            <w:tcW w:w="709" w:type="dxa"/>
            <w:tcMar>
              <w:top w:w="0" w:type="dxa"/>
              <w:left w:w="108" w:type="dxa"/>
              <w:bottom w:w="0" w:type="dxa"/>
              <w:right w:w="108" w:type="dxa"/>
            </w:tcMar>
            <w:vAlign w:val="center"/>
          </w:tcPr>
          <w:p>
            <w:pPr>
              <w:spacing w:line="520" w:lineRule="exact"/>
              <w:jc w:val="center"/>
            </w:pPr>
            <w:r>
              <w:rPr>
                <w:rFonts w:hint="eastAsia"/>
              </w:rPr>
              <w:t>6</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restart"/>
            <w:shd w:val="clear" w:color="auto" w:fill="BDD6EE"/>
            <w:tcMar>
              <w:top w:w="0" w:type="dxa"/>
              <w:left w:w="108" w:type="dxa"/>
              <w:bottom w:w="0" w:type="dxa"/>
              <w:right w:w="108" w:type="dxa"/>
            </w:tcMar>
            <w:vAlign w:val="center"/>
          </w:tcPr>
          <w:p>
            <w:pPr>
              <w:spacing w:line="520" w:lineRule="exact"/>
              <w:jc w:val="center"/>
              <w:rPr>
                <w:rFonts w:ascii="楷体_GB2312" w:eastAsia="楷体_GB2312"/>
              </w:rPr>
            </w:pPr>
            <w:r>
              <w:rPr>
                <w:rFonts w:hint="eastAsia" w:ascii="楷体_GB2312" w:eastAsia="楷体_GB2312"/>
              </w:rPr>
              <w:t>（五）不予</w:t>
            </w:r>
          </w:p>
          <w:p>
            <w:pPr>
              <w:spacing w:line="520" w:lineRule="exact"/>
              <w:jc w:val="center"/>
              <w:rPr>
                <w:rFonts w:ascii="楷体_GB2312" w:eastAsia="楷体_GB2312"/>
              </w:rPr>
            </w:pPr>
            <w:r>
              <w:rPr>
                <w:rFonts w:hint="eastAsia" w:ascii="楷体_GB2312" w:eastAsia="楷体_GB2312"/>
              </w:rPr>
              <w:t>处理</w:t>
            </w: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1.信访举报投诉类申请</w:t>
            </w:r>
          </w:p>
        </w:tc>
        <w:tc>
          <w:tcPr>
            <w:tcW w:w="709" w:type="dxa"/>
            <w:tcMar>
              <w:top w:w="0" w:type="dxa"/>
              <w:left w:w="108" w:type="dxa"/>
              <w:bottom w:w="0" w:type="dxa"/>
              <w:right w:w="108" w:type="dxa"/>
            </w:tcMar>
            <w:vAlign w:val="center"/>
          </w:tcPr>
          <w:p>
            <w:pPr>
              <w:spacing w:line="520" w:lineRule="exact"/>
              <w:jc w:val="center"/>
            </w:pPr>
            <w:r>
              <w:rPr>
                <w:rFonts w:hint="eastAsia"/>
              </w:rPr>
              <w:t>1</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2.重复申请</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3.要求提供公开出版物</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4.无正当理由大量反复申请</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856" w:type="dxa"/>
            <w:vMerge w:val="continue"/>
            <w:shd w:val="clear" w:color="auto" w:fill="BDD6EE"/>
            <w:tcMar>
              <w:top w:w="0" w:type="dxa"/>
              <w:left w:w="108" w:type="dxa"/>
              <w:bottom w:w="0" w:type="dxa"/>
              <w:right w:w="108" w:type="dxa"/>
            </w:tcMar>
            <w:vAlign w:val="center"/>
          </w:tcPr>
          <w:p>
            <w:pPr>
              <w:spacing w:line="520" w:lineRule="exact"/>
              <w:rPr>
                <w:rFonts w:ascii="楷体_GB2312" w:eastAsia="楷体_GB2312"/>
              </w:rPr>
            </w:pPr>
          </w:p>
        </w:tc>
        <w:tc>
          <w:tcPr>
            <w:tcW w:w="2957" w:type="dxa"/>
            <w:shd w:val="clear" w:color="auto" w:fill="DEEAF6"/>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5.要求行政机关确认或重新出具已获取信息</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3813" w:type="dxa"/>
            <w:gridSpan w:val="2"/>
            <w:shd w:val="clear" w:color="auto" w:fill="BDD6EE"/>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（六）其他处理</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399" w:type="dxa"/>
            <w:vMerge w:val="continue"/>
            <w:shd w:val="clear" w:color="auto" w:fill="9CC2E5"/>
            <w:tcMar>
              <w:top w:w="0" w:type="dxa"/>
              <w:left w:w="108" w:type="dxa"/>
              <w:bottom w:w="0" w:type="dxa"/>
              <w:right w:w="108" w:type="dxa"/>
            </w:tcMar>
            <w:vAlign w:val="center"/>
          </w:tcPr>
          <w:p>
            <w:pPr>
              <w:spacing w:line="520" w:lineRule="exact"/>
            </w:pPr>
          </w:p>
        </w:tc>
        <w:tc>
          <w:tcPr>
            <w:tcW w:w="3813" w:type="dxa"/>
            <w:gridSpan w:val="2"/>
            <w:shd w:val="clear" w:color="auto" w:fill="BDD6EE"/>
            <w:tcMar>
              <w:top w:w="0" w:type="dxa"/>
              <w:left w:w="108" w:type="dxa"/>
              <w:bottom w:w="0" w:type="dxa"/>
              <w:right w:w="108" w:type="dxa"/>
            </w:tcMar>
            <w:vAlign w:val="center"/>
          </w:tcPr>
          <w:p>
            <w:pPr>
              <w:spacing w:line="520" w:lineRule="exact"/>
              <w:rPr>
                <w:rFonts w:ascii="楷体_GB2312" w:eastAsia="楷体_GB2312"/>
              </w:rPr>
            </w:pPr>
            <w:r>
              <w:rPr>
                <w:rFonts w:hint="eastAsia" w:ascii="楷体_GB2312" w:eastAsia="楷体_GB2312"/>
              </w:rPr>
              <w:t>（七）总计</w:t>
            </w:r>
          </w:p>
        </w:tc>
        <w:tc>
          <w:tcPr>
            <w:tcW w:w="709" w:type="dxa"/>
            <w:tcMar>
              <w:top w:w="0" w:type="dxa"/>
              <w:left w:w="108" w:type="dxa"/>
              <w:bottom w:w="0" w:type="dxa"/>
              <w:right w:w="108" w:type="dxa"/>
            </w:tcMar>
            <w:vAlign w:val="center"/>
          </w:tcPr>
          <w:p>
            <w:pPr>
              <w:spacing w:line="520" w:lineRule="exact"/>
              <w:jc w:val="center"/>
            </w:pPr>
            <w:r>
              <w:rPr>
                <w:rFonts w:hint="eastAsia"/>
              </w:rPr>
              <w:t>101</w:t>
            </w:r>
          </w:p>
        </w:tc>
        <w:tc>
          <w:tcPr>
            <w:tcW w:w="709" w:type="dxa"/>
            <w:tcMar>
              <w:top w:w="0" w:type="dxa"/>
              <w:left w:w="108" w:type="dxa"/>
              <w:bottom w:w="0" w:type="dxa"/>
              <w:right w:w="108" w:type="dxa"/>
            </w:tcMar>
            <w:vAlign w:val="center"/>
          </w:tcPr>
          <w:p>
            <w:pPr>
              <w:spacing w:line="520" w:lineRule="exact"/>
              <w:jc w:val="center"/>
            </w:pPr>
            <w:r>
              <w:rPr>
                <w:rFonts w:hint="eastAsia"/>
              </w:rPr>
              <w:t>3</w:t>
            </w: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21</w:t>
            </w: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4" w:hRule="atLeast"/>
          <w:jc w:val="center"/>
        </w:trPr>
        <w:tc>
          <w:tcPr>
            <w:tcW w:w="4212" w:type="dxa"/>
            <w:gridSpan w:val="3"/>
            <w:shd w:val="clear" w:color="auto" w:fill="9CC2E5"/>
            <w:tcMar>
              <w:top w:w="0" w:type="dxa"/>
              <w:left w:w="108" w:type="dxa"/>
              <w:bottom w:w="0" w:type="dxa"/>
              <w:right w:w="108" w:type="dxa"/>
            </w:tcMar>
            <w:vAlign w:val="center"/>
          </w:tcPr>
          <w:p>
            <w:pPr>
              <w:spacing w:line="520" w:lineRule="exact"/>
            </w:pPr>
            <w:r>
              <w:rPr>
                <w:rFonts w:hint="eastAsia"/>
              </w:rPr>
              <w:t>四、结转下年度继续办理</w:t>
            </w:r>
          </w:p>
        </w:tc>
        <w:tc>
          <w:tcPr>
            <w:tcW w:w="709" w:type="dxa"/>
            <w:tcMar>
              <w:top w:w="0" w:type="dxa"/>
              <w:left w:w="108" w:type="dxa"/>
              <w:bottom w:w="0" w:type="dxa"/>
              <w:right w:w="108" w:type="dxa"/>
            </w:tcMar>
            <w:vAlign w:val="center"/>
          </w:tcPr>
          <w:p>
            <w:pPr>
              <w:spacing w:line="520" w:lineRule="exact"/>
              <w:jc w:val="center"/>
            </w:pPr>
            <w:r>
              <w:rPr>
                <w:rFonts w:hint="eastAsia"/>
              </w:rPr>
              <w:t>11</w:t>
            </w:r>
          </w:p>
        </w:tc>
        <w:tc>
          <w:tcPr>
            <w:tcW w:w="709"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708"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p>
        </w:tc>
        <w:tc>
          <w:tcPr>
            <w:tcW w:w="567" w:type="dxa"/>
            <w:tcMar>
              <w:top w:w="0" w:type="dxa"/>
              <w:left w:w="108" w:type="dxa"/>
              <w:bottom w:w="0" w:type="dxa"/>
              <w:right w:w="108" w:type="dxa"/>
            </w:tcMar>
            <w:vAlign w:val="center"/>
          </w:tcPr>
          <w:p>
            <w:pPr>
              <w:spacing w:line="520" w:lineRule="exact"/>
              <w:jc w:val="center"/>
            </w:pPr>
          </w:p>
        </w:tc>
        <w:tc>
          <w:tcPr>
            <w:tcW w:w="709" w:type="dxa"/>
            <w:tcMar>
              <w:top w:w="0" w:type="dxa"/>
              <w:left w:w="108" w:type="dxa"/>
              <w:bottom w:w="0" w:type="dxa"/>
              <w:right w:w="108" w:type="dxa"/>
            </w:tcMar>
            <w:vAlign w:val="center"/>
          </w:tcPr>
          <w:p>
            <w:pPr>
              <w:spacing w:line="520" w:lineRule="exact"/>
              <w:jc w:val="center"/>
            </w:pPr>
            <w:r>
              <w:rPr>
                <w:rFonts w:hint="eastAsia"/>
              </w:rPr>
              <w:t>11</w:t>
            </w:r>
          </w:p>
        </w:tc>
      </w:tr>
    </w:tbl>
    <w:p>
      <w:pPr>
        <w:spacing w:line="520" w:lineRule="exact"/>
        <w:ind w:firstLine="640" w:firstLineChars="200"/>
        <w:rPr>
          <w:rFonts w:ascii="黑体" w:hAnsi="黑体" w:eastAsia="黑体" w:cs="黑体"/>
          <w:sz w:val="32"/>
          <w:szCs w:val="32"/>
        </w:rPr>
      </w:pPr>
      <w:r>
        <w:rPr>
          <w:rFonts w:hint="eastAsia" w:ascii="黑体" w:hAnsi="黑体" w:eastAsia="黑体" w:cs="黑体"/>
          <w:sz w:val="32"/>
          <w:szCs w:val="32"/>
        </w:rPr>
        <w:t>四、政府信息公开行政复议、行政诉讼情况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467"/>
        <w:gridCol w:w="541"/>
        <w:gridCol w:w="604"/>
        <w:gridCol w:w="604"/>
        <w:gridCol w:w="658"/>
        <w:gridCol w:w="550"/>
        <w:gridCol w:w="605"/>
        <w:gridCol w:w="605"/>
        <w:gridCol w:w="605"/>
        <w:gridCol w:w="605"/>
        <w:gridCol w:w="605"/>
        <w:gridCol w:w="605"/>
        <w:gridCol w:w="605"/>
        <w:gridCol w:w="606"/>
        <w:gridCol w:w="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65" w:hRule="atLeast"/>
          <w:jc w:val="center"/>
        </w:trPr>
        <w:tc>
          <w:tcPr>
            <w:tcW w:w="2874" w:type="dxa"/>
            <w:gridSpan w:val="5"/>
            <w:tcBorders>
              <w:bottom w:val="single" w:color="auto" w:sz="4" w:space="0"/>
            </w:tcBorders>
            <w:shd w:val="clear" w:color="auto" w:fill="5B9BD5"/>
            <w:tcMar>
              <w:top w:w="0" w:type="dxa"/>
              <w:left w:w="108" w:type="dxa"/>
              <w:bottom w:w="0" w:type="dxa"/>
              <w:right w:w="108" w:type="dxa"/>
            </w:tcMar>
            <w:vAlign w:val="center"/>
          </w:tcPr>
          <w:p>
            <w:pPr>
              <w:spacing w:line="520" w:lineRule="exact"/>
              <w:jc w:val="center"/>
            </w:pPr>
            <w:r>
              <w:rPr>
                <w:rFonts w:hint="eastAsia"/>
              </w:rPr>
              <w:t>行政复议</w:t>
            </w:r>
          </w:p>
        </w:tc>
        <w:tc>
          <w:tcPr>
            <w:tcW w:w="5997" w:type="dxa"/>
            <w:gridSpan w:val="10"/>
            <w:tcBorders>
              <w:bottom w:val="single" w:color="auto" w:sz="4" w:space="0"/>
            </w:tcBorders>
            <w:shd w:val="clear" w:color="auto" w:fill="5B9BD5"/>
            <w:tcMar>
              <w:top w:w="0" w:type="dxa"/>
              <w:left w:w="108" w:type="dxa"/>
              <w:bottom w:w="0" w:type="dxa"/>
              <w:right w:w="108" w:type="dxa"/>
            </w:tcMar>
            <w:vAlign w:val="center"/>
          </w:tcPr>
          <w:p>
            <w:pPr>
              <w:spacing w:line="520" w:lineRule="exact"/>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55" w:hRule="atLeast"/>
          <w:jc w:val="center"/>
        </w:trPr>
        <w:tc>
          <w:tcPr>
            <w:tcW w:w="467" w:type="dxa"/>
            <w:vMerge w:val="restart"/>
            <w:tcBorders>
              <w:top w:val="single" w:color="auto" w:sz="4" w:space="0"/>
            </w:tcBorders>
            <w:shd w:val="clear" w:color="auto" w:fill="auto"/>
            <w:tcMar>
              <w:top w:w="0" w:type="dxa"/>
              <w:left w:w="108" w:type="dxa"/>
              <w:bottom w:w="0" w:type="dxa"/>
              <w:right w:w="108" w:type="dxa"/>
            </w:tcMar>
            <w:vAlign w:val="center"/>
          </w:tcPr>
          <w:p>
            <w:pPr>
              <w:spacing w:line="520" w:lineRule="exact"/>
              <w:jc w:val="center"/>
            </w:pPr>
            <w:r>
              <w:rPr>
                <w:rFonts w:hint="eastAsia"/>
              </w:rPr>
              <w:t>结</w:t>
            </w:r>
          </w:p>
          <w:p>
            <w:pPr>
              <w:spacing w:line="520" w:lineRule="exact"/>
              <w:jc w:val="center"/>
            </w:pPr>
            <w:r>
              <w:rPr>
                <w:rFonts w:hint="eastAsia"/>
              </w:rPr>
              <w:t>果</w:t>
            </w:r>
          </w:p>
          <w:p>
            <w:pPr>
              <w:spacing w:line="520" w:lineRule="exact"/>
              <w:jc w:val="center"/>
            </w:pPr>
            <w:r>
              <w:rPr>
                <w:rFonts w:hint="eastAsia"/>
              </w:rPr>
              <w:t>维</w:t>
            </w:r>
          </w:p>
          <w:p>
            <w:pPr>
              <w:spacing w:line="520" w:lineRule="exact"/>
              <w:jc w:val="center"/>
            </w:pPr>
            <w:r>
              <w:rPr>
                <w:rFonts w:hint="eastAsia"/>
              </w:rPr>
              <w:t>持</w:t>
            </w:r>
          </w:p>
        </w:tc>
        <w:tc>
          <w:tcPr>
            <w:tcW w:w="541" w:type="dxa"/>
            <w:vMerge w:val="restart"/>
            <w:tcBorders>
              <w:top w:val="single" w:color="auto" w:sz="4" w:space="0"/>
            </w:tcBorders>
            <w:shd w:val="clear" w:color="auto" w:fill="auto"/>
            <w:tcMar>
              <w:top w:w="0" w:type="dxa"/>
              <w:left w:w="108" w:type="dxa"/>
              <w:bottom w:w="0" w:type="dxa"/>
              <w:right w:w="108" w:type="dxa"/>
            </w:tcMar>
            <w:vAlign w:val="center"/>
          </w:tcPr>
          <w:p>
            <w:pPr>
              <w:spacing w:line="520" w:lineRule="exact"/>
              <w:jc w:val="center"/>
            </w:pPr>
            <w:r>
              <w:rPr>
                <w:rFonts w:hint="eastAsia"/>
              </w:rPr>
              <w:t>结果纠正</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spacing w:line="520" w:lineRule="exact"/>
              <w:jc w:val="center"/>
            </w:pPr>
            <w:r>
              <w:rPr>
                <w:rFonts w:hint="eastAsia"/>
              </w:rPr>
              <w:t>其他结果</w:t>
            </w:r>
          </w:p>
        </w:tc>
        <w:tc>
          <w:tcPr>
            <w:tcW w:w="604" w:type="dxa"/>
            <w:vMerge w:val="restart"/>
            <w:tcBorders>
              <w:top w:val="single" w:color="auto" w:sz="4" w:space="0"/>
            </w:tcBorders>
            <w:shd w:val="clear" w:color="auto" w:fill="auto"/>
            <w:tcMar>
              <w:top w:w="0" w:type="dxa"/>
              <w:left w:w="108" w:type="dxa"/>
              <w:bottom w:w="0" w:type="dxa"/>
              <w:right w:w="108" w:type="dxa"/>
            </w:tcMar>
            <w:vAlign w:val="center"/>
          </w:tcPr>
          <w:p>
            <w:pPr>
              <w:spacing w:line="520" w:lineRule="exact"/>
              <w:jc w:val="center"/>
            </w:pPr>
            <w:r>
              <w:rPr>
                <w:rFonts w:hint="eastAsia"/>
              </w:rPr>
              <w:t>尚未审结</w:t>
            </w:r>
          </w:p>
        </w:tc>
        <w:tc>
          <w:tcPr>
            <w:tcW w:w="658" w:type="dxa"/>
            <w:vMerge w:val="restart"/>
            <w:tcBorders>
              <w:top w:val="single" w:color="auto" w:sz="4" w:space="0"/>
            </w:tcBorders>
            <w:shd w:val="clear" w:color="auto" w:fill="auto"/>
            <w:tcMar>
              <w:top w:w="0" w:type="dxa"/>
              <w:left w:w="108" w:type="dxa"/>
              <w:bottom w:w="0" w:type="dxa"/>
              <w:right w:w="108" w:type="dxa"/>
            </w:tcMar>
            <w:vAlign w:val="center"/>
          </w:tcPr>
          <w:p>
            <w:pPr>
              <w:spacing w:line="520" w:lineRule="exact"/>
              <w:jc w:val="center"/>
            </w:pPr>
            <w:r>
              <w:rPr>
                <w:rFonts w:hint="eastAsia"/>
              </w:rPr>
              <w:t>总 计</w:t>
            </w:r>
          </w:p>
        </w:tc>
        <w:tc>
          <w:tcPr>
            <w:tcW w:w="2970" w:type="dxa"/>
            <w:gridSpan w:val="5"/>
            <w:tcBorders>
              <w:top w:val="single" w:color="auto" w:sz="4" w:space="0"/>
            </w:tcBorders>
            <w:shd w:val="clear" w:color="auto" w:fill="9CC2E5"/>
            <w:tcMar>
              <w:top w:w="0" w:type="dxa"/>
              <w:left w:w="108" w:type="dxa"/>
              <w:bottom w:w="0" w:type="dxa"/>
              <w:right w:w="108" w:type="dxa"/>
            </w:tcMar>
            <w:vAlign w:val="center"/>
          </w:tcPr>
          <w:p>
            <w:pPr>
              <w:spacing w:line="520" w:lineRule="exact"/>
              <w:jc w:val="center"/>
            </w:pPr>
            <w:r>
              <w:rPr>
                <w:rFonts w:hint="eastAsia"/>
              </w:rPr>
              <w:t>未经复议直接起诉</w:t>
            </w:r>
          </w:p>
        </w:tc>
        <w:tc>
          <w:tcPr>
            <w:tcW w:w="3027" w:type="dxa"/>
            <w:gridSpan w:val="5"/>
            <w:tcBorders>
              <w:top w:val="single" w:color="auto" w:sz="4" w:space="0"/>
            </w:tcBorders>
            <w:shd w:val="clear" w:color="auto" w:fill="9CC2E5"/>
            <w:tcMar>
              <w:top w:w="0" w:type="dxa"/>
              <w:left w:w="108" w:type="dxa"/>
              <w:bottom w:w="0" w:type="dxa"/>
              <w:right w:w="108" w:type="dxa"/>
            </w:tcMar>
            <w:vAlign w:val="center"/>
          </w:tcPr>
          <w:p>
            <w:pPr>
              <w:spacing w:line="520" w:lineRule="exact"/>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jc w:val="center"/>
        </w:trPr>
        <w:tc>
          <w:tcPr>
            <w:tcW w:w="467" w:type="dxa"/>
            <w:vMerge w:val="continue"/>
            <w:tcMar>
              <w:top w:w="0" w:type="dxa"/>
              <w:left w:w="108" w:type="dxa"/>
              <w:bottom w:w="0" w:type="dxa"/>
              <w:right w:w="108" w:type="dxa"/>
            </w:tcMar>
            <w:vAlign w:val="center"/>
          </w:tcPr>
          <w:p>
            <w:pPr>
              <w:spacing w:line="520" w:lineRule="exact"/>
              <w:jc w:val="center"/>
            </w:pPr>
          </w:p>
        </w:tc>
        <w:tc>
          <w:tcPr>
            <w:tcW w:w="541" w:type="dxa"/>
            <w:vMerge w:val="continue"/>
            <w:tcMar>
              <w:top w:w="0" w:type="dxa"/>
              <w:left w:w="108" w:type="dxa"/>
              <w:bottom w:w="0" w:type="dxa"/>
              <w:right w:w="108" w:type="dxa"/>
            </w:tcMar>
            <w:vAlign w:val="center"/>
          </w:tcPr>
          <w:p>
            <w:pPr>
              <w:spacing w:line="520" w:lineRule="exact"/>
              <w:jc w:val="center"/>
            </w:pPr>
          </w:p>
        </w:tc>
        <w:tc>
          <w:tcPr>
            <w:tcW w:w="604" w:type="dxa"/>
            <w:vMerge w:val="continue"/>
            <w:tcMar>
              <w:top w:w="0" w:type="dxa"/>
              <w:left w:w="108" w:type="dxa"/>
              <w:bottom w:w="0" w:type="dxa"/>
              <w:right w:w="108" w:type="dxa"/>
            </w:tcMar>
            <w:vAlign w:val="center"/>
          </w:tcPr>
          <w:p>
            <w:pPr>
              <w:spacing w:line="520" w:lineRule="exact"/>
              <w:jc w:val="center"/>
            </w:pPr>
          </w:p>
        </w:tc>
        <w:tc>
          <w:tcPr>
            <w:tcW w:w="604" w:type="dxa"/>
            <w:vMerge w:val="continue"/>
            <w:tcMar>
              <w:top w:w="0" w:type="dxa"/>
              <w:left w:w="108" w:type="dxa"/>
              <w:bottom w:w="0" w:type="dxa"/>
              <w:right w:w="108" w:type="dxa"/>
            </w:tcMar>
            <w:vAlign w:val="center"/>
          </w:tcPr>
          <w:p>
            <w:pPr>
              <w:spacing w:line="520" w:lineRule="exact"/>
              <w:jc w:val="center"/>
            </w:pPr>
          </w:p>
        </w:tc>
        <w:tc>
          <w:tcPr>
            <w:tcW w:w="658" w:type="dxa"/>
            <w:vMerge w:val="continue"/>
            <w:tcMar>
              <w:top w:w="0" w:type="dxa"/>
              <w:left w:w="108" w:type="dxa"/>
              <w:bottom w:w="0" w:type="dxa"/>
              <w:right w:w="108" w:type="dxa"/>
            </w:tcMar>
            <w:vAlign w:val="center"/>
          </w:tcPr>
          <w:p>
            <w:pPr>
              <w:spacing w:line="520" w:lineRule="exact"/>
              <w:jc w:val="center"/>
            </w:pPr>
          </w:p>
        </w:tc>
        <w:tc>
          <w:tcPr>
            <w:tcW w:w="550" w:type="dxa"/>
            <w:tcMar>
              <w:top w:w="0" w:type="dxa"/>
              <w:left w:w="108" w:type="dxa"/>
              <w:bottom w:w="0" w:type="dxa"/>
              <w:right w:w="108" w:type="dxa"/>
            </w:tcMar>
            <w:vAlign w:val="center"/>
          </w:tcPr>
          <w:p>
            <w:pPr>
              <w:spacing w:line="520" w:lineRule="exact"/>
              <w:jc w:val="center"/>
            </w:pPr>
            <w:r>
              <w:rPr>
                <w:rFonts w:hint="eastAsia"/>
              </w:rPr>
              <w:t>结果维持</w:t>
            </w:r>
          </w:p>
        </w:tc>
        <w:tc>
          <w:tcPr>
            <w:tcW w:w="605" w:type="dxa"/>
            <w:tcMar>
              <w:top w:w="0" w:type="dxa"/>
              <w:left w:w="108" w:type="dxa"/>
              <w:bottom w:w="0" w:type="dxa"/>
              <w:right w:w="108" w:type="dxa"/>
            </w:tcMar>
            <w:vAlign w:val="center"/>
          </w:tcPr>
          <w:p>
            <w:pPr>
              <w:spacing w:line="520" w:lineRule="exact"/>
              <w:jc w:val="center"/>
            </w:pPr>
            <w:r>
              <w:rPr>
                <w:rFonts w:hint="eastAsia"/>
              </w:rPr>
              <w:t>结果纠正</w:t>
            </w:r>
          </w:p>
        </w:tc>
        <w:tc>
          <w:tcPr>
            <w:tcW w:w="605" w:type="dxa"/>
            <w:tcMar>
              <w:top w:w="0" w:type="dxa"/>
              <w:left w:w="108" w:type="dxa"/>
              <w:bottom w:w="0" w:type="dxa"/>
              <w:right w:w="108" w:type="dxa"/>
            </w:tcMar>
            <w:vAlign w:val="center"/>
          </w:tcPr>
          <w:p>
            <w:pPr>
              <w:spacing w:line="520" w:lineRule="exact"/>
              <w:jc w:val="center"/>
            </w:pPr>
            <w:r>
              <w:rPr>
                <w:rFonts w:hint="eastAsia"/>
              </w:rPr>
              <w:t>其他结果</w:t>
            </w:r>
          </w:p>
        </w:tc>
        <w:tc>
          <w:tcPr>
            <w:tcW w:w="605" w:type="dxa"/>
            <w:tcMar>
              <w:top w:w="0" w:type="dxa"/>
              <w:left w:w="108" w:type="dxa"/>
              <w:bottom w:w="0" w:type="dxa"/>
              <w:right w:w="108" w:type="dxa"/>
            </w:tcMar>
            <w:vAlign w:val="center"/>
          </w:tcPr>
          <w:p>
            <w:pPr>
              <w:spacing w:line="520" w:lineRule="exact"/>
              <w:jc w:val="center"/>
            </w:pPr>
            <w:r>
              <w:rPr>
                <w:rFonts w:hint="eastAsia"/>
              </w:rPr>
              <w:t>尚未审结</w:t>
            </w:r>
          </w:p>
        </w:tc>
        <w:tc>
          <w:tcPr>
            <w:tcW w:w="605" w:type="dxa"/>
            <w:tcMar>
              <w:top w:w="0" w:type="dxa"/>
              <w:left w:w="108" w:type="dxa"/>
              <w:bottom w:w="0" w:type="dxa"/>
              <w:right w:w="108" w:type="dxa"/>
            </w:tcMar>
            <w:vAlign w:val="center"/>
          </w:tcPr>
          <w:p>
            <w:pPr>
              <w:spacing w:line="520" w:lineRule="exact"/>
              <w:jc w:val="center"/>
            </w:pPr>
            <w:r>
              <w:rPr>
                <w:rFonts w:hint="eastAsia"/>
              </w:rPr>
              <w:t>总计</w:t>
            </w:r>
          </w:p>
        </w:tc>
        <w:tc>
          <w:tcPr>
            <w:tcW w:w="605" w:type="dxa"/>
            <w:tcMar>
              <w:top w:w="0" w:type="dxa"/>
              <w:left w:w="108" w:type="dxa"/>
              <w:bottom w:w="0" w:type="dxa"/>
              <w:right w:w="108" w:type="dxa"/>
            </w:tcMar>
            <w:vAlign w:val="center"/>
          </w:tcPr>
          <w:p>
            <w:pPr>
              <w:spacing w:line="520" w:lineRule="exact"/>
              <w:jc w:val="center"/>
            </w:pPr>
            <w:r>
              <w:rPr>
                <w:rFonts w:hint="eastAsia"/>
              </w:rPr>
              <w:t>结果维持</w:t>
            </w:r>
          </w:p>
        </w:tc>
        <w:tc>
          <w:tcPr>
            <w:tcW w:w="605" w:type="dxa"/>
            <w:tcMar>
              <w:top w:w="0" w:type="dxa"/>
              <w:left w:w="108" w:type="dxa"/>
              <w:bottom w:w="0" w:type="dxa"/>
              <w:right w:w="108" w:type="dxa"/>
            </w:tcMar>
            <w:vAlign w:val="center"/>
          </w:tcPr>
          <w:p>
            <w:pPr>
              <w:spacing w:line="520" w:lineRule="exact"/>
              <w:jc w:val="center"/>
            </w:pPr>
            <w:r>
              <w:rPr>
                <w:rFonts w:hint="eastAsia"/>
              </w:rPr>
              <w:t>结果纠正</w:t>
            </w:r>
          </w:p>
        </w:tc>
        <w:tc>
          <w:tcPr>
            <w:tcW w:w="605" w:type="dxa"/>
            <w:tcMar>
              <w:top w:w="0" w:type="dxa"/>
              <w:left w:w="108" w:type="dxa"/>
              <w:bottom w:w="0" w:type="dxa"/>
              <w:right w:w="108" w:type="dxa"/>
            </w:tcMar>
            <w:vAlign w:val="center"/>
          </w:tcPr>
          <w:p>
            <w:pPr>
              <w:spacing w:line="520" w:lineRule="exact"/>
              <w:jc w:val="center"/>
            </w:pPr>
            <w:r>
              <w:rPr>
                <w:rFonts w:hint="eastAsia"/>
              </w:rPr>
              <w:t>其他结果</w:t>
            </w:r>
          </w:p>
        </w:tc>
        <w:tc>
          <w:tcPr>
            <w:tcW w:w="606" w:type="dxa"/>
            <w:tcMar>
              <w:top w:w="0" w:type="dxa"/>
              <w:left w:w="108" w:type="dxa"/>
              <w:bottom w:w="0" w:type="dxa"/>
              <w:right w:w="108" w:type="dxa"/>
            </w:tcMar>
            <w:vAlign w:val="center"/>
          </w:tcPr>
          <w:p>
            <w:pPr>
              <w:spacing w:line="520" w:lineRule="exact"/>
              <w:jc w:val="center"/>
            </w:pPr>
            <w:r>
              <w:rPr>
                <w:rFonts w:hint="eastAsia"/>
              </w:rPr>
              <w:t>尚未审结</w:t>
            </w:r>
          </w:p>
        </w:tc>
        <w:tc>
          <w:tcPr>
            <w:tcW w:w="606" w:type="dxa"/>
            <w:tcMar>
              <w:top w:w="0" w:type="dxa"/>
              <w:left w:w="108" w:type="dxa"/>
              <w:bottom w:w="0" w:type="dxa"/>
              <w:right w:w="108" w:type="dxa"/>
            </w:tcMar>
            <w:vAlign w:val="center"/>
          </w:tcPr>
          <w:p>
            <w:pPr>
              <w:spacing w:line="520" w:lineRule="exact"/>
              <w:jc w:val="center"/>
            </w:pPr>
            <w:r>
              <w:rPr>
                <w:rFonts w:hint="eastAsia"/>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584" w:hRule="atLeast"/>
          <w:jc w:val="center"/>
        </w:trPr>
        <w:tc>
          <w:tcPr>
            <w:tcW w:w="467" w:type="dxa"/>
            <w:tcMar>
              <w:top w:w="0" w:type="dxa"/>
              <w:left w:w="108" w:type="dxa"/>
              <w:bottom w:w="0" w:type="dxa"/>
              <w:right w:w="108" w:type="dxa"/>
            </w:tcMar>
            <w:vAlign w:val="center"/>
          </w:tcPr>
          <w:p>
            <w:pPr>
              <w:spacing w:line="520" w:lineRule="exact"/>
              <w:jc w:val="center"/>
            </w:pPr>
            <w:r>
              <w:rPr>
                <w:rFonts w:hint="eastAsia"/>
              </w:rPr>
              <w:t>2</w:t>
            </w:r>
          </w:p>
        </w:tc>
        <w:tc>
          <w:tcPr>
            <w:tcW w:w="541" w:type="dxa"/>
            <w:tcMar>
              <w:top w:w="0" w:type="dxa"/>
              <w:left w:w="108" w:type="dxa"/>
              <w:bottom w:w="0" w:type="dxa"/>
              <w:right w:w="108" w:type="dxa"/>
            </w:tcMar>
            <w:vAlign w:val="center"/>
          </w:tcPr>
          <w:p>
            <w:pPr>
              <w:spacing w:line="520" w:lineRule="exact"/>
              <w:jc w:val="center"/>
            </w:pPr>
            <w:r>
              <w:rPr>
                <w:rFonts w:hint="eastAsia"/>
              </w:rPr>
              <w:t>1</w:t>
            </w:r>
          </w:p>
        </w:tc>
        <w:tc>
          <w:tcPr>
            <w:tcW w:w="604" w:type="dxa"/>
            <w:tcMar>
              <w:top w:w="0" w:type="dxa"/>
              <w:left w:w="108" w:type="dxa"/>
              <w:bottom w:w="0" w:type="dxa"/>
              <w:right w:w="108" w:type="dxa"/>
            </w:tcMar>
            <w:vAlign w:val="center"/>
          </w:tcPr>
          <w:p>
            <w:pPr>
              <w:spacing w:line="520" w:lineRule="exact"/>
              <w:jc w:val="center"/>
            </w:pPr>
            <w:r>
              <w:rPr>
                <w:rFonts w:hint="eastAsia"/>
              </w:rPr>
              <w:t>0</w:t>
            </w:r>
          </w:p>
        </w:tc>
        <w:tc>
          <w:tcPr>
            <w:tcW w:w="604" w:type="dxa"/>
            <w:tcMar>
              <w:top w:w="0" w:type="dxa"/>
              <w:left w:w="108" w:type="dxa"/>
              <w:bottom w:w="0" w:type="dxa"/>
              <w:right w:w="108" w:type="dxa"/>
            </w:tcMar>
            <w:vAlign w:val="center"/>
          </w:tcPr>
          <w:p>
            <w:pPr>
              <w:spacing w:line="520" w:lineRule="exact"/>
              <w:jc w:val="center"/>
            </w:pPr>
            <w:r>
              <w:rPr>
                <w:rFonts w:hint="eastAsia"/>
              </w:rPr>
              <w:t>0</w:t>
            </w:r>
          </w:p>
        </w:tc>
        <w:tc>
          <w:tcPr>
            <w:tcW w:w="658" w:type="dxa"/>
            <w:tcMar>
              <w:top w:w="0" w:type="dxa"/>
              <w:left w:w="108" w:type="dxa"/>
              <w:bottom w:w="0" w:type="dxa"/>
              <w:right w:w="108" w:type="dxa"/>
            </w:tcMar>
            <w:vAlign w:val="center"/>
          </w:tcPr>
          <w:p>
            <w:pPr>
              <w:spacing w:line="520" w:lineRule="exact"/>
              <w:jc w:val="center"/>
            </w:pPr>
            <w:r>
              <w:rPr>
                <w:rFonts w:hint="eastAsia"/>
              </w:rPr>
              <w:t>3</w:t>
            </w:r>
          </w:p>
        </w:tc>
        <w:tc>
          <w:tcPr>
            <w:tcW w:w="550" w:type="dxa"/>
            <w:tcMar>
              <w:top w:w="0" w:type="dxa"/>
              <w:left w:w="108" w:type="dxa"/>
              <w:bottom w:w="0" w:type="dxa"/>
              <w:right w:w="108" w:type="dxa"/>
            </w:tcMar>
            <w:vAlign w:val="center"/>
          </w:tcPr>
          <w:p>
            <w:pPr>
              <w:spacing w:line="520" w:lineRule="exact"/>
              <w:jc w:val="center"/>
              <w:rPr>
                <w:rFonts w:eastAsia="宋体"/>
              </w:rPr>
            </w:pPr>
            <w:r>
              <w:rPr>
                <w:rFonts w:hint="eastAsia"/>
              </w:rPr>
              <w:t>2</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0</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0</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1</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3</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4</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0</w:t>
            </w:r>
          </w:p>
        </w:tc>
        <w:tc>
          <w:tcPr>
            <w:tcW w:w="605" w:type="dxa"/>
            <w:tcMar>
              <w:top w:w="0" w:type="dxa"/>
              <w:left w:w="108" w:type="dxa"/>
              <w:bottom w:w="0" w:type="dxa"/>
              <w:right w:w="108" w:type="dxa"/>
            </w:tcMar>
            <w:vAlign w:val="center"/>
          </w:tcPr>
          <w:p>
            <w:pPr>
              <w:spacing w:line="520" w:lineRule="exact"/>
              <w:jc w:val="center"/>
              <w:rPr>
                <w:rFonts w:eastAsia="宋体"/>
              </w:rPr>
            </w:pPr>
            <w:r>
              <w:rPr>
                <w:rFonts w:hint="eastAsia"/>
              </w:rPr>
              <w:t>1</w:t>
            </w:r>
          </w:p>
        </w:tc>
        <w:tc>
          <w:tcPr>
            <w:tcW w:w="606" w:type="dxa"/>
            <w:tcMar>
              <w:top w:w="0" w:type="dxa"/>
              <w:left w:w="108" w:type="dxa"/>
              <w:bottom w:w="0" w:type="dxa"/>
              <w:right w:w="108" w:type="dxa"/>
            </w:tcMar>
            <w:vAlign w:val="center"/>
          </w:tcPr>
          <w:p>
            <w:pPr>
              <w:spacing w:line="520" w:lineRule="exact"/>
              <w:jc w:val="center"/>
              <w:rPr>
                <w:rFonts w:eastAsia="宋体"/>
              </w:rPr>
            </w:pPr>
            <w:r>
              <w:rPr>
                <w:rFonts w:hint="eastAsia"/>
              </w:rPr>
              <w:t>1</w:t>
            </w:r>
          </w:p>
        </w:tc>
        <w:tc>
          <w:tcPr>
            <w:tcW w:w="606" w:type="dxa"/>
            <w:tcMar>
              <w:top w:w="0" w:type="dxa"/>
              <w:left w:w="108" w:type="dxa"/>
              <w:bottom w:w="0" w:type="dxa"/>
              <w:right w:w="108" w:type="dxa"/>
            </w:tcMar>
            <w:vAlign w:val="center"/>
          </w:tcPr>
          <w:p>
            <w:pPr>
              <w:spacing w:line="520" w:lineRule="exact"/>
              <w:jc w:val="center"/>
              <w:rPr>
                <w:rFonts w:eastAsia="宋体"/>
              </w:rPr>
            </w:pPr>
            <w:r>
              <w:rPr>
                <w:rFonts w:hint="eastAsia"/>
              </w:rPr>
              <w:t>6</w:t>
            </w:r>
          </w:p>
        </w:tc>
      </w:tr>
    </w:tbl>
    <w:p>
      <w:pPr>
        <w:spacing w:line="520" w:lineRule="exact"/>
        <w:ind w:firstLine="640" w:firstLineChars="200"/>
        <w:rPr>
          <w:rFonts w:ascii="仿宋" w:hAnsi="仿宋" w:eastAsia="仿宋" w:cs="仿宋"/>
          <w:sz w:val="32"/>
          <w:szCs w:val="32"/>
        </w:rPr>
      </w:pPr>
      <w:r>
        <w:rPr>
          <w:rFonts w:hint="eastAsia" w:ascii="黑体" w:hAnsi="黑体" w:eastAsia="黑体" w:cs="黑体"/>
          <w:sz w:val="32"/>
          <w:szCs w:val="32"/>
        </w:rPr>
        <w:t>五、存在的问题及改进情况</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一是存在政府信息公开不及时的现象，尤其是行政许可与行政处罚决定，往往超出规定的7个工作日对外公开。为避免发生这种情况，我局结合市经信局每周通报的情况，督促责任处室及时整改，务必做到“应公开，尽公开”。</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二是存在责任意识不强的现象，个别信息措辞不严谨，甚至出现一些低级错误。为此要求各处室严格落实四级审查机制，如因此造成不良影响的，将予以通报并追责。</w:t>
      </w:r>
    </w:p>
    <w:p>
      <w:pPr>
        <w:widowControl/>
        <w:spacing w:line="52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spacing w:line="520" w:lineRule="exact"/>
        <w:rPr>
          <w:rFonts w:hint="eastAsia" w:ascii="仿宋_GB2312" w:hAnsi="仿宋" w:eastAsia="仿宋_GB2312" w:cs="仿宋"/>
          <w:color w:val="404040"/>
          <w:sz w:val="32"/>
          <w:szCs w:val="32"/>
          <w:shd w:val="clear" w:color="auto" w:fill="FFFFFF"/>
        </w:rPr>
      </w:pPr>
      <w:r>
        <w:rPr>
          <w:rFonts w:hint="eastAsia"/>
        </w:rPr>
        <w:t xml:space="preserve">      </w:t>
      </w:r>
      <w:r>
        <w:rPr>
          <w:rFonts w:hint="eastAsia" w:ascii="仿宋" w:hAnsi="仿宋" w:eastAsia="仿宋" w:cs="仿宋"/>
          <w:color w:val="404040"/>
          <w:sz w:val="32"/>
          <w:szCs w:val="32"/>
          <w:shd w:val="clear" w:color="auto" w:fill="FFFFFF"/>
        </w:rPr>
        <w:t>北京市司法局门户网站（北京市司法行政网）的网址为http://sfj.beijing.gov.cn，如需了解更多政府信息，请</w:t>
      </w:r>
      <w:r>
        <w:rPr>
          <w:rFonts w:hint="eastAsia" w:ascii="仿宋_GB2312" w:hAnsi="仿宋" w:eastAsia="仿宋_GB2312" w:cs="仿宋"/>
          <w:color w:val="404040"/>
          <w:sz w:val="32"/>
          <w:szCs w:val="32"/>
          <w:shd w:val="clear" w:color="auto" w:fill="FFFFFF"/>
        </w:rPr>
        <w:t>登录查询。</w:t>
      </w:r>
      <w:bookmarkStart w:id="0" w:name="_GoBack"/>
      <w:bookmarkEnd w:id="0"/>
    </w:p>
    <w:p>
      <w:pPr>
        <w:pStyle w:val="2"/>
        <w:rPr>
          <w:rFonts w:hint="eastAsia" w:ascii="仿宋_GB2312" w:eastAsia="仿宋_GB2312"/>
          <w:sz w:val="32"/>
          <w:szCs w:val="32"/>
        </w:rPr>
      </w:pPr>
    </w:p>
    <w:p>
      <w:pPr>
        <w:pStyle w:val="2"/>
        <w:rPr>
          <w:rFonts w:hint="eastAsia" w:ascii="仿宋_GB2312" w:eastAsia="仿宋_GB2312"/>
          <w:color w:val="FF000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510964"/>
    <w:multiLevelType w:val="singleLevel"/>
    <w:tmpl w:val="99510964"/>
    <w:lvl w:ilvl="0" w:tentative="0">
      <w:start w:val="1"/>
      <w:numFmt w:val="chineseCounting"/>
      <w:suff w:val="nothing"/>
      <w:lvlText w:val="%1、"/>
      <w:lvlJc w:val="left"/>
      <w:pPr>
        <w:ind w:left="704"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0C7A12"/>
    <w:rsid w:val="00BE591F"/>
    <w:rsid w:val="00FD36AA"/>
    <w:rsid w:val="01450DD6"/>
    <w:rsid w:val="084B71C7"/>
    <w:rsid w:val="08E04F18"/>
    <w:rsid w:val="0B4608D7"/>
    <w:rsid w:val="0CC63CFC"/>
    <w:rsid w:val="1F16425D"/>
    <w:rsid w:val="2E2554E6"/>
    <w:rsid w:val="3E3E519E"/>
    <w:rsid w:val="42C13212"/>
    <w:rsid w:val="493C0F9F"/>
    <w:rsid w:val="4D070477"/>
    <w:rsid w:val="530C7A12"/>
    <w:rsid w:val="56176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638</Words>
  <Characters>3640</Characters>
  <Lines>30</Lines>
  <Paragraphs>8</Paragraphs>
  <TotalTime>34</TotalTime>
  <ScaleCrop>false</ScaleCrop>
  <LinksUpToDate>false</LinksUpToDate>
  <CharactersWithSpaces>4270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2021-01-11T06:25:00Z</dcterms:created>
  <dc:creator>王玉琴</dc:creator>
  <cp:lastModifiedBy>王玉琴</cp:lastModifiedBy>
  <cp:lastPrinted>2021-01-18T01:32:22Z</cp:lastPrinted>
  <dcterms:modified xsi:type="dcterms:W3CDTF">2021-01-18T01:54:55Z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ies>
</file>