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312" w:afterLines="100" w:afterAutospacing="0" w:line="360" w:lineRule="auto"/>
        <w:jc w:val="center"/>
        <w:rPr>
          <w:rFonts w:ascii="Times New Roman" w:hAnsi="Times New Roman" w:eastAsia="方正小标宋简体" w:cs="方正小标宋简体"/>
          <w:sz w:val="28"/>
          <w:szCs w:val="28"/>
        </w:rPr>
      </w:pPr>
      <w:r>
        <w:rPr>
          <w:rFonts w:hint="eastAsia" w:ascii="Times New Roman" w:hAnsi="Times New Roman" w:eastAsia="方正小标宋简体" w:cs="方正小标宋简体"/>
          <w:sz w:val="28"/>
          <w:szCs w:val="28"/>
        </w:rPr>
        <w:t xml:space="preserve">Notice of Beijing Municipal Bureau of Justice on Printing and Distributing the </w:t>
      </w:r>
      <w:r>
        <w:rPr>
          <w:rFonts w:ascii="Times New Roman" w:hAnsi="Times New Roman" w:eastAsia="方正小标宋简体" w:cs="方正小标宋简体"/>
          <w:sz w:val="28"/>
          <w:szCs w:val="28"/>
        </w:rPr>
        <w:t>“Administrative Measures for Registration of Business Offices Established by Overseas Arbitration Institutions in China (Beijing) Pilot Free Trade Zone”</w:t>
      </w:r>
    </w:p>
    <w:p>
      <w:pPr>
        <w:pStyle w:val="7"/>
        <w:spacing w:beforeAutospacing="0" w:after="0" w:afterLines="-2147483648" w:afterAutospacing="0" w:line="360" w:lineRule="auto"/>
        <w:jc w:val="both"/>
        <w:rPr>
          <w:rFonts w:ascii="Times New Roman" w:hAnsi="Times New Roman" w:eastAsia="黑体" w:cs="黑体"/>
        </w:rPr>
      </w:pPr>
      <w:r>
        <w:rPr>
          <w:rFonts w:hint="eastAsia" w:ascii="Times New Roman" w:hAnsi="Times New Roman" w:eastAsia="黑体" w:cs="黑体"/>
        </w:rPr>
        <w:t>All r</w:t>
      </w:r>
      <w:r>
        <w:rPr>
          <w:rFonts w:ascii="Times New Roman" w:hAnsi="Times New Roman" w:eastAsia="黑体" w:cs="黑体"/>
        </w:rPr>
        <w:t xml:space="preserve">elevant </w:t>
      </w:r>
      <w:r>
        <w:rPr>
          <w:rFonts w:hint="eastAsia" w:ascii="Times New Roman" w:hAnsi="Times New Roman" w:eastAsia="黑体" w:cs="黑体"/>
        </w:rPr>
        <w:t>entities</w:t>
      </w:r>
      <w:r>
        <w:rPr>
          <w:rFonts w:ascii="Times New Roman" w:hAnsi="Times New Roman" w:eastAsia="黑体" w:cs="黑体"/>
        </w:rPr>
        <w:t>:</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i/>
          <w:iCs/>
        </w:rPr>
        <w:t>The Administrative Measures for Registration of Business Offices Established by Overseas Arbitration Institutions in China (Beijing) Pilot Free Trade Zone</w:t>
      </w:r>
      <w:r>
        <w:rPr>
          <w:rFonts w:ascii="Times New Roman" w:hAnsi="Times New Roman" w:eastAsia="黑体" w:cs="黑体"/>
        </w:rPr>
        <w:t xml:space="preserve">, which was </w:t>
      </w:r>
      <w:r>
        <w:rPr>
          <w:rFonts w:hint="eastAsia" w:ascii="Times New Roman" w:hAnsi="Times New Roman" w:eastAsia="黑体" w:cs="黑体"/>
        </w:rPr>
        <w:t>considered</w:t>
      </w:r>
      <w:r>
        <w:rPr>
          <w:rFonts w:ascii="Times New Roman" w:hAnsi="Times New Roman" w:eastAsia="黑体" w:cs="黑体"/>
        </w:rPr>
        <w:t xml:space="preserve"> and adopted by the 15th </w:t>
      </w:r>
      <w:r>
        <w:rPr>
          <w:rFonts w:hint="eastAsia" w:ascii="Times New Roman" w:hAnsi="Times New Roman" w:eastAsia="黑体" w:cs="黑体"/>
        </w:rPr>
        <w:t>D</w:t>
      </w:r>
      <w:r>
        <w:rPr>
          <w:rFonts w:ascii="Times New Roman" w:hAnsi="Times New Roman" w:eastAsia="黑体" w:cs="黑体"/>
        </w:rPr>
        <w:t xml:space="preserve">irector </w:t>
      </w:r>
      <w:r>
        <w:rPr>
          <w:rFonts w:hint="eastAsia" w:ascii="Times New Roman" w:hAnsi="Times New Roman" w:eastAsia="黑体" w:cs="黑体"/>
        </w:rPr>
        <w:t>G</w:t>
      </w:r>
      <w:r>
        <w:rPr>
          <w:rFonts w:ascii="Times New Roman" w:hAnsi="Times New Roman" w:eastAsia="黑体" w:cs="黑体"/>
        </w:rPr>
        <w:t xml:space="preserve">eneral’s </w:t>
      </w:r>
      <w:r>
        <w:rPr>
          <w:rFonts w:hint="eastAsia" w:ascii="Times New Roman" w:hAnsi="Times New Roman" w:eastAsia="黑体" w:cs="黑体"/>
        </w:rPr>
        <w:t>Work</w:t>
      </w:r>
      <w:r>
        <w:rPr>
          <w:rFonts w:ascii="Times New Roman" w:hAnsi="Times New Roman" w:eastAsia="黑体" w:cs="黑体"/>
        </w:rPr>
        <w:t xml:space="preserve"> </w:t>
      </w:r>
      <w:r>
        <w:rPr>
          <w:rFonts w:hint="eastAsia" w:ascii="Times New Roman" w:hAnsi="Times New Roman" w:eastAsia="黑体" w:cs="黑体"/>
        </w:rPr>
        <w:t>M</w:t>
      </w:r>
      <w:r>
        <w:rPr>
          <w:rFonts w:ascii="Times New Roman" w:hAnsi="Times New Roman" w:eastAsia="黑体" w:cs="黑体"/>
        </w:rPr>
        <w:t xml:space="preserve">eeting of </w:t>
      </w:r>
      <w:r>
        <w:rPr>
          <w:rFonts w:hint="eastAsia" w:ascii="Times New Roman" w:hAnsi="Times New Roman" w:eastAsia="黑体" w:cs="黑体"/>
        </w:rPr>
        <w:t>Beijing</w:t>
      </w:r>
      <w:r>
        <w:rPr>
          <w:rFonts w:ascii="Times New Roman" w:hAnsi="Times New Roman" w:eastAsia="黑体" w:cs="黑体"/>
        </w:rPr>
        <w:t xml:space="preserve"> Municipal Bureau of </w:t>
      </w:r>
      <w:r>
        <w:rPr>
          <w:rFonts w:hint="eastAsia" w:ascii="Times New Roman" w:hAnsi="Times New Roman" w:eastAsia="黑体" w:cs="黑体"/>
        </w:rPr>
        <w:t>J</w:t>
      </w:r>
      <w:r>
        <w:rPr>
          <w:rFonts w:ascii="Times New Roman" w:hAnsi="Times New Roman" w:eastAsia="黑体" w:cs="黑体"/>
        </w:rPr>
        <w:t>ustice in 2020, is hereby printed and distributed.</w:t>
      </w:r>
    </w:p>
    <w:p>
      <w:pPr>
        <w:pStyle w:val="7"/>
        <w:spacing w:beforeAutospacing="0" w:after="312" w:afterLines="100" w:afterAutospacing="0" w:line="360" w:lineRule="auto"/>
        <w:ind w:firstLine="480" w:firstLineChars="200"/>
        <w:jc w:val="both"/>
        <w:rPr>
          <w:rFonts w:ascii="Times New Roman" w:hAnsi="Times New Roman" w:eastAsia="黑体" w:cs="黑体"/>
        </w:rPr>
      </w:pPr>
      <w:r>
        <w:rPr>
          <w:rFonts w:hint="eastAsia" w:ascii="Times New Roman" w:hAnsi="Times New Roman" w:eastAsia="黑体" w:cs="黑体"/>
        </w:rPr>
        <w:t>The above is</w:t>
      </w:r>
      <w:r>
        <w:rPr>
          <w:rFonts w:ascii="Times New Roman" w:hAnsi="Times New Roman" w:eastAsia="黑体" w:cs="黑体"/>
        </w:rPr>
        <w:t xml:space="preserve"> hereby </w:t>
      </w:r>
      <w:r>
        <w:rPr>
          <w:rFonts w:hint="eastAsia" w:ascii="Times New Roman" w:hAnsi="Times New Roman" w:eastAsia="黑体" w:cs="黑体"/>
        </w:rPr>
        <w:t>notified</w:t>
      </w:r>
      <w:r>
        <w:rPr>
          <w:rFonts w:ascii="Times New Roman" w:hAnsi="Times New Roman" w:eastAsia="黑体" w:cs="黑体"/>
        </w:rPr>
        <w:t>.</w:t>
      </w:r>
    </w:p>
    <w:p>
      <w:pPr>
        <w:pStyle w:val="7"/>
        <w:spacing w:beforeAutospacing="0" w:after="0" w:afterLines="-2147483648" w:afterAutospacing="0" w:line="360" w:lineRule="auto"/>
        <w:ind w:firstLine="480" w:firstLineChars="200"/>
        <w:jc w:val="right"/>
        <w:rPr>
          <w:rFonts w:ascii="Times New Roman" w:hAnsi="Times New Roman" w:eastAsia="黑体" w:cs="黑体"/>
        </w:rPr>
      </w:pPr>
      <w:r>
        <w:rPr>
          <w:rFonts w:hint="eastAsia" w:ascii="Times New Roman" w:hAnsi="Times New Roman" w:eastAsia="黑体" w:cs="黑体"/>
        </w:rPr>
        <w:t>Beijing Municipal Bureau of Justice</w:t>
      </w:r>
    </w:p>
    <w:p>
      <w:pPr>
        <w:pStyle w:val="7"/>
        <w:spacing w:beforeAutospacing="0" w:after="0" w:afterLines="-2147483648" w:afterAutospacing="0" w:line="360" w:lineRule="auto"/>
        <w:ind w:firstLine="480" w:firstLineChars="200"/>
        <w:jc w:val="right"/>
        <w:rPr>
          <w:rFonts w:ascii="Times New Roman" w:hAnsi="Times New Roman" w:eastAsia="黑体" w:cs="黑体"/>
        </w:rPr>
      </w:pPr>
      <w:r>
        <w:rPr>
          <w:rFonts w:hint="eastAsia" w:ascii="Times New Roman" w:hAnsi="Times New Roman" w:eastAsia="黑体" w:cs="黑体"/>
        </w:rPr>
        <w:t>December</w:t>
      </w:r>
      <w:r>
        <w:rPr>
          <w:rFonts w:ascii="Times New Roman" w:hAnsi="Times New Roman" w:eastAsia="黑体" w:cs="黑体"/>
        </w:rPr>
        <w:t xml:space="preserve"> </w:t>
      </w:r>
      <w:r>
        <w:rPr>
          <w:rFonts w:hint="eastAsia" w:ascii="Times New Roman" w:hAnsi="Times New Roman" w:eastAsia="黑体" w:cs="黑体"/>
        </w:rPr>
        <w:t>28, 2020</w:t>
      </w:r>
    </w:p>
    <w:p>
      <w:pPr>
        <w:spacing w:after="0" w:afterLines="-2147483648" w:line="360" w:lineRule="auto"/>
        <w:ind w:firstLine="560" w:firstLineChars="200"/>
        <w:jc w:val="left"/>
        <w:rPr>
          <w:rFonts w:ascii="Times New Roman" w:hAnsi="Times New Roman" w:eastAsia="方正小标宋简体" w:cs="方正小标宋简体"/>
          <w:bCs/>
          <w:sz w:val="28"/>
          <w:szCs w:val="28"/>
        </w:rPr>
      </w:pPr>
      <w:r>
        <w:rPr>
          <w:rFonts w:ascii="Times New Roman" w:hAnsi="Times New Roman" w:eastAsia="方正小标宋简体" w:cs="方正小标宋简体"/>
          <w:bCs/>
          <w:sz w:val="28"/>
          <w:szCs w:val="28"/>
        </w:rPr>
        <w:br w:type="page"/>
      </w:r>
    </w:p>
    <w:p>
      <w:pPr>
        <w:pStyle w:val="2"/>
        <w:spacing w:beforeAutospacing="0" w:after="312" w:afterLines="100" w:afterAutospacing="0" w:line="360" w:lineRule="auto"/>
        <w:ind w:firstLine="562" w:firstLineChars="200"/>
        <w:jc w:val="center"/>
        <w:rPr>
          <w:rFonts w:ascii="Times New Roman" w:hAnsi="Times New Roman" w:eastAsia="方正小标宋简体" w:cs="方正小标宋简体"/>
          <w:sz w:val="28"/>
          <w:szCs w:val="28"/>
        </w:rPr>
      </w:pPr>
      <w:r>
        <w:rPr>
          <w:rFonts w:ascii="Times New Roman" w:hAnsi="Times New Roman" w:eastAsia="方正小标宋简体" w:cs="方正小标宋简体"/>
          <w:sz w:val="28"/>
          <w:szCs w:val="28"/>
        </w:rPr>
        <w:t>Administrative Measures for Registration of Business Offices Established by Overseas Arbitration Institutions in China (Beijing) Pilot Free Trade Zone</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ascii="Times New Roman" w:hAnsi="Times New Roman" w:eastAsia="黑体" w:cs="黑体"/>
        </w:rPr>
        <w:tab/>
      </w:r>
      <w:r>
        <w:rPr>
          <w:rFonts w:ascii="Times New Roman" w:hAnsi="Times New Roman" w:eastAsia="黑体" w:cs="黑体"/>
        </w:rPr>
        <w:t>The</w:t>
      </w:r>
      <w:r>
        <w:rPr>
          <w:rFonts w:hint="eastAsia" w:ascii="Times New Roman" w:hAnsi="Times New Roman" w:eastAsia="黑体" w:cs="黑体"/>
        </w:rPr>
        <w:t>se</w:t>
      </w:r>
      <w:r>
        <w:rPr>
          <w:rFonts w:ascii="Times New Roman" w:hAnsi="Times New Roman" w:eastAsia="黑体" w:cs="黑体"/>
        </w:rPr>
        <w:t xml:space="preserve"> Administrative Measures are </w:t>
      </w:r>
      <w:r>
        <w:rPr>
          <w:rFonts w:hint="eastAsia" w:ascii="Times New Roman" w:hAnsi="Times New Roman" w:eastAsia="黑体" w:cs="黑体"/>
        </w:rPr>
        <w:t xml:space="preserve">hereby </w:t>
      </w:r>
      <w:r>
        <w:rPr>
          <w:rFonts w:ascii="Times New Roman" w:hAnsi="Times New Roman" w:eastAsia="黑体" w:cs="黑体"/>
        </w:rPr>
        <w:t xml:space="preserve">formulated in accordance with the </w:t>
      </w:r>
      <w:r>
        <w:rPr>
          <w:rFonts w:ascii="Times New Roman" w:hAnsi="Times New Roman" w:eastAsia="黑体" w:cs="黑体"/>
          <w:i/>
          <w:iCs/>
        </w:rPr>
        <w:t>Arbitration Law</w:t>
      </w:r>
      <w:r>
        <w:rPr>
          <w:rFonts w:ascii="Times New Roman" w:hAnsi="Times New Roman" w:eastAsia="黑体" w:cs="黑体"/>
        </w:rPr>
        <w:t xml:space="preserve"> and other relevant regulations </w:t>
      </w:r>
      <w:r>
        <w:rPr>
          <w:rFonts w:hint="eastAsia" w:ascii="Times New Roman" w:hAnsi="Times New Roman" w:eastAsia="黑体" w:cs="黑体"/>
        </w:rPr>
        <w:t>in conjunction with</w:t>
      </w:r>
      <w:r>
        <w:rPr>
          <w:rFonts w:ascii="Times New Roman" w:hAnsi="Times New Roman" w:eastAsia="黑体" w:cs="黑体"/>
        </w:rPr>
        <w:t xml:space="preserve"> the actual circumstances, for the purposes of implementing the </w:t>
      </w:r>
      <w:r>
        <w:rPr>
          <w:rFonts w:ascii="Times New Roman" w:hAnsi="Times New Roman" w:eastAsia="黑体" w:cs="黑体"/>
          <w:i/>
          <w:iCs/>
        </w:rPr>
        <w:t xml:space="preserve">Official Reply of the State Council </w:t>
      </w:r>
      <w:r>
        <w:rPr>
          <w:rFonts w:hint="eastAsia" w:ascii="Times New Roman" w:hAnsi="Times New Roman" w:eastAsia="黑体" w:cs="黑体"/>
          <w:i/>
          <w:iCs/>
          <w:lang w:val="en-US" w:eastAsia="zh-CN"/>
        </w:rPr>
        <w:t xml:space="preserve">Concerning </w:t>
      </w:r>
      <w:r>
        <w:rPr>
          <w:rFonts w:ascii="Times New Roman" w:hAnsi="Times New Roman" w:eastAsia="黑体" w:cs="黑体"/>
          <w:i/>
          <w:iCs/>
        </w:rPr>
        <w:t>the Plan for Building a</w:t>
      </w:r>
      <w:r>
        <w:rPr>
          <w:rFonts w:hint="eastAsia" w:ascii="Times New Roman" w:hAnsi="Times New Roman" w:eastAsia="黑体" w:cs="黑体"/>
          <w:i/>
          <w:iCs/>
          <w:lang w:val="en-US" w:eastAsia="zh-CN"/>
        </w:rPr>
        <w:t xml:space="preserve">n Integrated National Demonstration Zone for Opening up the Services Sector Through the Integrated Pilot Program for Further Opening up </w:t>
      </w:r>
      <w:r>
        <w:rPr>
          <w:rFonts w:ascii="Times New Roman" w:hAnsi="Times New Roman" w:eastAsia="黑体" w:cs="黑体"/>
          <w:i/>
          <w:iCs/>
        </w:rPr>
        <w:t>Beijing</w:t>
      </w:r>
      <w:r>
        <w:rPr>
          <w:rFonts w:hint="default" w:ascii="Times New Roman" w:hAnsi="Times New Roman" w:eastAsia="黑体" w:cs="黑体"/>
          <w:i/>
          <w:iCs/>
          <w:lang w:val="en-US" w:eastAsia="zh-CN"/>
        </w:rPr>
        <w:t>’</w:t>
      </w:r>
      <w:r>
        <w:rPr>
          <w:rFonts w:hint="eastAsia" w:ascii="Times New Roman" w:hAnsi="Times New Roman" w:eastAsia="黑体" w:cs="黑体"/>
          <w:i/>
          <w:iCs/>
          <w:lang w:val="en-US" w:eastAsia="zh-CN"/>
        </w:rPr>
        <w:t xml:space="preserve">s </w:t>
      </w:r>
      <w:r>
        <w:rPr>
          <w:rFonts w:ascii="Times New Roman" w:hAnsi="Times New Roman" w:eastAsia="黑体" w:cs="黑体"/>
          <w:i/>
          <w:iCs/>
        </w:rPr>
        <w:t>Service Sector</w:t>
      </w:r>
      <w:r>
        <w:rPr>
          <w:rFonts w:hint="eastAsia" w:ascii="Times New Roman" w:hAnsi="Times New Roman" w:eastAsia="黑体" w:cs="黑体"/>
          <w:i/>
          <w:iCs/>
          <w:lang w:val="en-US" w:eastAsia="zh-CN"/>
        </w:rPr>
        <w:t xml:space="preserve"> </w:t>
      </w:r>
      <w:r>
        <w:rPr>
          <w:rFonts w:ascii="Times New Roman" w:hAnsi="Times New Roman" w:eastAsia="黑体" w:cs="黑体"/>
        </w:rPr>
        <w:t xml:space="preserve">and the </w:t>
      </w:r>
      <w:r>
        <w:rPr>
          <w:rFonts w:ascii="Times New Roman" w:hAnsi="Times New Roman" w:eastAsia="黑体" w:cs="黑体"/>
          <w:i/>
          <w:iCs/>
        </w:rPr>
        <w:t xml:space="preserve">Circular of the State Council on Printing and Issuing the Overall Plan for Beijing, </w:t>
      </w:r>
      <w:bookmarkStart w:id="0" w:name="_GoBack"/>
      <w:r>
        <w:rPr>
          <w:rFonts w:ascii="Times New Roman" w:hAnsi="Times New Roman" w:eastAsia="黑体" w:cs="黑体"/>
          <w:i/>
          <w:iCs/>
        </w:rPr>
        <w:t>Hunan</w:t>
      </w:r>
      <w:bookmarkEnd w:id="0"/>
      <w:r>
        <w:rPr>
          <w:rFonts w:ascii="Times New Roman" w:hAnsi="Times New Roman" w:eastAsia="黑体" w:cs="黑体"/>
          <w:i/>
          <w:iCs/>
        </w:rPr>
        <w:t xml:space="preserve"> and Anhui Pilot Free Trade Zones and the Regional Plan for Expansion of Zhejiang Pilot Free Trade Zone</w:t>
      </w:r>
      <w:r>
        <w:rPr>
          <w:rFonts w:ascii="Times New Roman" w:hAnsi="Times New Roman" w:eastAsia="黑体" w:cs="黑体"/>
        </w:rPr>
        <w:t>, bringing to success the registration of Business Offices to be established by Overseas Arbitration Institutions in China (Beijing) Pilot Free Trade Zone, as well as promoting the development of the Pilot Free Trade Zone.</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2</w:t>
      </w:r>
      <w:r>
        <w:rPr>
          <w:rFonts w:ascii="Times New Roman" w:hAnsi="Times New Roman" w:eastAsia="黑体" w:cs="黑体"/>
          <w:b/>
          <w:bCs/>
        </w:rPr>
        <w:tab/>
      </w:r>
      <w:r>
        <w:rPr>
          <w:rFonts w:ascii="Times New Roman" w:hAnsi="Times New Roman" w:eastAsia="黑体" w:cs="黑体"/>
        </w:rPr>
        <w:t>The</w:t>
      </w:r>
      <w:r>
        <w:rPr>
          <w:rFonts w:hint="eastAsia" w:ascii="Times New Roman" w:hAnsi="Times New Roman" w:eastAsia="黑体" w:cs="黑体"/>
        </w:rPr>
        <w:t>se</w:t>
      </w:r>
      <w:r>
        <w:rPr>
          <w:rFonts w:ascii="Times New Roman" w:hAnsi="Times New Roman" w:eastAsia="黑体" w:cs="黑体"/>
        </w:rPr>
        <w:t xml:space="preserve"> Administrative Measures shall apply to the registration administration of Business Offices to be established by Overseas Arbitration Institutions in China (Beijing) Pilot Free Trade Zone and the related activities thereof.</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The term “Overseas Arbitration Institution” </w:t>
      </w:r>
      <w:r>
        <w:rPr>
          <w:rFonts w:hint="eastAsia" w:ascii="Times New Roman" w:hAnsi="Times New Roman" w:eastAsia="黑体" w:cs="黑体"/>
        </w:rPr>
        <w:t>referenced herein</w:t>
      </w:r>
      <w:r>
        <w:rPr>
          <w:rFonts w:ascii="Times New Roman" w:hAnsi="Times New Roman" w:eastAsia="黑体" w:cs="黑体"/>
        </w:rPr>
        <w:t xml:space="preserve"> shall mean any non-profit arbitration institution legally established in foreign countries </w:t>
      </w:r>
      <w:r>
        <w:rPr>
          <w:rFonts w:hint="eastAsia" w:ascii="Times New Roman" w:hAnsi="Times New Roman" w:eastAsia="黑体" w:cs="黑体"/>
        </w:rPr>
        <w:t>and</w:t>
      </w:r>
      <w:r>
        <w:rPr>
          <w:rFonts w:ascii="Times New Roman" w:hAnsi="Times New Roman" w:eastAsia="黑体" w:cs="黑体"/>
        </w:rPr>
        <w:t xml:space="preserve"> the Hong Kong Special Administrative Region, the Macao Special Administrative Region </w:t>
      </w:r>
      <w:r>
        <w:rPr>
          <w:rFonts w:hint="eastAsia" w:ascii="Times New Roman" w:hAnsi="Times New Roman" w:eastAsia="黑体" w:cs="黑体"/>
        </w:rPr>
        <w:t>and</w:t>
      </w:r>
      <w:r>
        <w:rPr>
          <w:rFonts w:ascii="Times New Roman" w:hAnsi="Times New Roman" w:eastAsia="黑体" w:cs="黑体"/>
        </w:rPr>
        <w:t xml:space="preserve"> Taiwan Region of China, as well as arbitration institutions established by international organizations that China has joined.</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3</w:t>
      </w:r>
      <w:r>
        <w:rPr>
          <w:rFonts w:ascii="Times New Roman" w:hAnsi="Times New Roman" w:eastAsia="黑体" w:cs="黑体"/>
        </w:rPr>
        <w:tab/>
      </w:r>
      <w:r>
        <w:rPr>
          <w:rFonts w:ascii="Times New Roman" w:hAnsi="Times New Roman" w:eastAsia="黑体" w:cs="黑体"/>
        </w:rPr>
        <w:t xml:space="preserve">An Overseas Arbitration Institution may, after registration, establish a Business Office in China (Beijing) Pilot Free Trade Zone to carry out foreign-related arbitration activities with respect to </w:t>
      </w:r>
      <w:r>
        <w:rPr>
          <w:rFonts w:hint="eastAsia" w:ascii="Times New Roman" w:hAnsi="Times New Roman" w:eastAsia="黑体" w:cs="黑体"/>
        </w:rPr>
        <w:t xml:space="preserve">civil and commercial </w:t>
      </w:r>
      <w:r>
        <w:rPr>
          <w:rFonts w:ascii="Times New Roman" w:hAnsi="Times New Roman" w:eastAsia="黑体" w:cs="黑体"/>
        </w:rPr>
        <w:t>disputes arising in the field</w:t>
      </w:r>
      <w:r>
        <w:rPr>
          <w:rFonts w:hint="eastAsia" w:ascii="Times New Roman" w:hAnsi="Times New Roman" w:eastAsia="黑体" w:cs="黑体"/>
        </w:rPr>
        <w:t>s</w:t>
      </w:r>
      <w:r>
        <w:rPr>
          <w:rFonts w:ascii="Times New Roman" w:hAnsi="Times New Roman" w:eastAsia="黑体" w:cs="黑体"/>
        </w:rPr>
        <w:t xml:space="preserve"> of</w:t>
      </w:r>
      <w:r>
        <w:rPr>
          <w:rFonts w:hint="eastAsia" w:ascii="Times New Roman" w:hAnsi="Times New Roman" w:eastAsia="黑体" w:cs="黑体"/>
        </w:rPr>
        <w:t>, inter alia,</w:t>
      </w:r>
      <w:r>
        <w:rPr>
          <w:rFonts w:ascii="Times New Roman" w:hAnsi="Times New Roman" w:eastAsia="黑体" w:cs="黑体"/>
        </w:rPr>
        <w:t xml:space="preserve"> international commercial affairs</w:t>
      </w:r>
      <w:r>
        <w:rPr>
          <w:rFonts w:hint="eastAsia" w:ascii="Times New Roman" w:hAnsi="Times New Roman" w:eastAsia="黑体" w:cs="黑体"/>
        </w:rPr>
        <w:t xml:space="preserve"> and investment</w:t>
      </w:r>
      <w:r>
        <w:rPr>
          <w:rFonts w:ascii="Times New Roman" w:hAnsi="Times New Roman" w:eastAsia="黑体" w:cs="黑体"/>
        </w:rPr>
        <w:t>.</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A Business Office established by an Overseas Arbitration Institution </w:t>
      </w:r>
      <w:r>
        <w:rPr>
          <w:rFonts w:hint="eastAsia" w:ascii="Times New Roman" w:hAnsi="Times New Roman" w:eastAsia="黑体" w:cs="黑体"/>
        </w:rPr>
        <w:t xml:space="preserve">in China (Beijing) Pilot Free Trade Zone </w:t>
      </w:r>
      <w:r>
        <w:rPr>
          <w:rFonts w:ascii="Times New Roman" w:hAnsi="Times New Roman" w:eastAsia="黑体" w:cs="黑体"/>
        </w:rPr>
        <w:t>(hereinafter referred to as “a Business Office”) shall not further establish any branch or dispatched office.</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4</w:t>
      </w:r>
      <w:r>
        <w:rPr>
          <w:rFonts w:ascii="Times New Roman" w:hAnsi="Times New Roman" w:eastAsia="黑体" w:cs="黑体"/>
        </w:rPr>
        <w:tab/>
      </w:r>
      <w:r>
        <w:rPr>
          <w:rFonts w:ascii="Times New Roman" w:hAnsi="Times New Roman" w:eastAsia="黑体" w:cs="黑体"/>
        </w:rPr>
        <w:t>The principal, staff and arbitrators of a Business Office shall abide by the PRC laws and regulations, adhere to the professional ethics, and shall not harm China’s national and social public interests</w:t>
      </w:r>
      <w:r>
        <w:rPr>
          <w:rFonts w:hint="eastAsia" w:ascii="Times New Roman" w:hAnsi="Times New Roman" w:eastAsia="黑体" w:cs="黑体"/>
        </w:rPr>
        <w:t xml:space="preserve"> or</w:t>
      </w:r>
      <w:r>
        <w:rPr>
          <w:rFonts w:ascii="Times New Roman" w:hAnsi="Times New Roman" w:eastAsia="黑体" w:cs="黑体"/>
        </w:rPr>
        <w:t xml:space="preserve"> the legitimate rights and interests of citizens, legal persons and other organizations when they work and live in China.</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5</w:t>
      </w:r>
      <w:r>
        <w:rPr>
          <w:rFonts w:ascii="Times New Roman" w:hAnsi="Times New Roman" w:eastAsia="黑体" w:cs="黑体"/>
        </w:rPr>
        <w:tab/>
      </w:r>
      <w:r>
        <w:rPr>
          <w:rFonts w:hint="eastAsia" w:ascii="Times New Roman" w:hAnsi="Times New Roman" w:eastAsia="黑体" w:cs="黑体"/>
        </w:rPr>
        <w:t xml:space="preserve">A Business Office and its relevant staff shall be protected by law </w:t>
      </w:r>
      <w:r>
        <w:rPr>
          <w:rFonts w:hint="eastAsia"/>
        </w:rPr>
        <w:t>w</w:t>
      </w:r>
      <w:r>
        <w:t>hile</w:t>
      </w:r>
      <w:r>
        <w:rPr>
          <w:rFonts w:hint="eastAsia" w:ascii="Times New Roman" w:hAnsi="Times New Roman" w:eastAsia="黑体" w:cs="黑体"/>
        </w:rPr>
        <w:t xml:space="preserve"> carrying out arbitration activities in accordance with the law.</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 xml:space="preserve">Article </w:t>
      </w:r>
      <w:r>
        <w:rPr>
          <w:rFonts w:hint="eastAsia" w:ascii="Times New Roman" w:hAnsi="Times New Roman" w:eastAsia="黑体" w:cs="黑体"/>
          <w:b/>
          <w:bCs/>
        </w:rPr>
        <w:t>6</w:t>
      </w:r>
      <w:r>
        <w:rPr>
          <w:rFonts w:ascii="Times New Roman" w:hAnsi="Times New Roman" w:eastAsia="黑体" w:cs="黑体"/>
        </w:rPr>
        <w:tab/>
      </w:r>
      <w:r>
        <w:rPr>
          <w:rFonts w:ascii="Times New Roman" w:hAnsi="Times New Roman" w:eastAsia="黑体" w:cs="黑体"/>
        </w:rPr>
        <w:t xml:space="preserve">Beijing Municipal Bureau of Justice (hereinafter referred to as the “Municipal Bureau of Justice”) shall be in charge of the registration of Business Offices established by Overseas Arbitration Institutions in China (Beijing) Pilot Free Trade Zone, and shall be responsible for </w:t>
      </w:r>
      <w:r>
        <w:t>regulating</w:t>
      </w:r>
      <w:r>
        <w:rPr>
          <w:rFonts w:ascii="Times New Roman" w:hAnsi="Times New Roman" w:eastAsia="黑体" w:cs="黑体"/>
        </w:rPr>
        <w:t xml:space="preserve"> their foreign-related arbitration activities in accordance with the law.</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 xml:space="preserve">Article </w:t>
      </w:r>
      <w:r>
        <w:rPr>
          <w:rFonts w:hint="eastAsia" w:ascii="Times New Roman" w:hAnsi="Times New Roman" w:eastAsia="黑体" w:cs="黑体"/>
          <w:b/>
          <w:bCs/>
        </w:rPr>
        <w:t>7</w:t>
      </w:r>
      <w:r>
        <w:rPr>
          <w:rFonts w:ascii="Times New Roman" w:hAnsi="Times New Roman" w:eastAsia="黑体" w:cs="黑体"/>
        </w:rPr>
        <w:tab/>
      </w:r>
      <w:r>
        <w:rPr>
          <w:rFonts w:ascii="Times New Roman" w:hAnsi="Times New Roman" w:eastAsia="黑体" w:cs="黑体"/>
        </w:rPr>
        <w:t>An Overseas Arbitration Institution, which applies for establishing a Business Office in China (Beijing) Pilot Free Trade Zone, shall meet the following conditions: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(1) It has been legally established overseas;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(2) It has been substantial</w:t>
      </w:r>
      <w:r>
        <w:rPr>
          <w:rFonts w:hint="eastAsia" w:ascii="Times New Roman" w:hAnsi="Times New Roman" w:eastAsia="黑体" w:cs="黑体"/>
        </w:rPr>
        <w:t xml:space="preserve">ly </w:t>
      </w:r>
      <w:r>
        <w:rPr>
          <w:rFonts w:ascii="Times New Roman" w:hAnsi="Times New Roman" w:eastAsia="黑体" w:cs="黑体"/>
        </w:rPr>
        <w:t>engaged in arbitration and related dispute resolution activities for more than five (5) years;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(3) It has high public credibility and international influence;</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(4) The </w:t>
      </w:r>
      <w:r>
        <w:rPr>
          <w:rFonts w:hint="eastAsia" w:ascii="Times New Roman" w:hAnsi="Times New Roman" w:eastAsia="黑体" w:cs="黑体"/>
        </w:rPr>
        <w:t xml:space="preserve">contemplated </w:t>
      </w:r>
      <w:r>
        <w:rPr>
          <w:rFonts w:ascii="Times New Roman" w:hAnsi="Times New Roman" w:eastAsia="黑体" w:cs="黑体"/>
        </w:rPr>
        <w:t>principal of the Business Office has full capacity for civil conduct</w:t>
      </w:r>
      <w:r>
        <w:rPr>
          <w:rFonts w:hint="eastAsia" w:ascii="Times New Roman" w:hAnsi="Times New Roman" w:eastAsia="黑体" w:cs="黑体"/>
        </w:rPr>
        <w:t>s</w:t>
      </w:r>
      <w:r>
        <w:rPr>
          <w:rFonts w:ascii="Times New Roman" w:hAnsi="Times New Roman" w:eastAsia="黑体" w:cs="黑体"/>
        </w:rPr>
        <w:t xml:space="preserve"> as stipulated by the PRC laws and has not been subjected to any criminal penalty for any willful offense; and</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(5) The </w:t>
      </w:r>
      <w:r>
        <w:rPr>
          <w:rFonts w:hint="eastAsia" w:ascii="Times New Roman" w:hAnsi="Times New Roman" w:eastAsia="黑体" w:cs="黑体"/>
        </w:rPr>
        <w:t xml:space="preserve">contemplated </w:t>
      </w:r>
      <w:r>
        <w:rPr>
          <w:rFonts w:ascii="Times New Roman" w:hAnsi="Times New Roman" w:eastAsia="黑体" w:cs="黑体"/>
        </w:rPr>
        <w:t>principal of the Business Office shall work full</w:t>
      </w:r>
      <w:r>
        <w:rPr>
          <w:rFonts w:hint="eastAsia" w:ascii="Times New Roman" w:hAnsi="Times New Roman" w:eastAsia="黑体" w:cs="黑体"/>
        </w:rPr>
        <w:t>-</w:t>
      </w:r>
      <w:r>
        <w:rPr>
          <w:rFonts w:ascii="Times New Roman" w:hAnsi="Times New Roman" w:eastAsia="黑体" w:cs="黑体"/>
        </w:rPr>
        <w:t xml:space="preserve">time, and neither the principal nor </w:t>
      </w:r>
      <w:r>
        <w:rPr>
          <w:rFonts w:hint="eastAsia" w:ascii="Times New Roman" w:hAnsi="Times New Roman" w:eastAsia="黑体" w:cs="黑体"/>
        </w:rPr>
        <w:t>other</w:t>
      </w:r>
      <w:r>
        <w:rPr>
          <w:rFonts w:ascii="Times New Roman" w:hAnsi="Times New Roman" w:eastAsia="黑体" w:cs="黑体"/>
        </w:rPr>
        <w:t xml:space="preserve"> staff may hold posts in other institutions at the same time.</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 xml:space="preserve">Article </w:t>
      </w:r>
      <w:r>
        <w:rPr>
          <w:rFonts w:hint="eastAsia" w:ascii="Times New Roman" w:hAnsi="Times New Roman" w:eastAsia="黑体" w:cs="黑体"/>
          <w:b/>
          <w:bCs/>
        </w:rPr>
        <w:t>8</w:t>
      </w:r>
      <w:r>
        <w:rPr>
          <w:rFonts w:ascii="Times New Roman" w:hAnsi="Times New Roman" w:eastAsia="黑体" w:cs="黑体"/>
        </w:rPr>
        <w:tab/>
      </w:r>
      <w:r>
        <w:rPr>
          <w:rFonts w:ascii="Times New Roman" w:hAnsi="Times New Roman" w:eastAsia="黑体" w:cs="黑体"/>
        </w:rPr>
        <w:t>An Overseas Arbitration Institution, which applies for establishing a Business Office in China (Beijing) Pilot Free Trade Zone, shall file an application with the Municipal Bureau of Justice and submit the following materials in duplicate:</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(1) An application for the establishment of a Business Office;</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(2) Documents to </w:t>
      </w:r>
      <w:r>
        <w:rPr>
          <w:rFonts w:hint="eastAsia" w:ascii="Times New Roman" w:hAnsi="Times New Roman" w:eastAsia="黑体" w:cs="黑体"/>
        </w:rPr>
        <w:t>c</w:t>
      </w:r>
      <w:r>
        <w:t>ertify</w:t>
      </w:r>
      <w:r>
        <w:rPr>
          <w:rFonts w:ascii="Times New Roman" w:hAnsi="Times New Roman" w:eastAsia="黑体" w:cs="黑体"/>
        </w:rPr>
        <w:t xml:space="preserve"> legal establishment overseas;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(3) A statement of relevant circumstances and a letter of commitment </w:t>
      </w:r>
      <w:r>
        <w:t>s</w:t>
      </w:r>
      <w:r>
        <w:rPr>
          <w:rFonts w:hint="eastAsia"/>
        </w:rPr>
        <w:t>pecifying</w:t>
      </w:r>
      <w:r>
        <w:t xml:space="preserve"> the </w:t>
      </w:r>
      <w:r>
        <w:rPr>
          <w:rFonts w:hint="eastAsia"/>
        </w:rPr>
        <w:t xml:space="preserve">meeting </w:t>
      </w:r>
      <w:r>
        <w:t xml:space="preserve">of requirements </w:t>
      </w:r>
      <w:r>
        <w:rPr>
          <w:rFonts w:ascii="Times New Roman" w:hAnsi="Times New Roman" w:eastAsia="黑体" w:cs="黑体"/>
        </w:rPr>
        <w:t>in Items (2) to (5) of Article</w:t>
      </w:r>
      <w:r>
        <w:rPr>
          <w:rFonts w:hint="eastAsia" w:ascii="Times New Roman" w:hAnsi="Times New Roman" w:eastAsia="黑体" w:cs="黑体"/>
        </w:rPr>
        <w:t>7</w:t>
      </w:r>
      <w:r>
        <w:rPr>
          <w:rFonts w:ascii="Times New Roman" w:hAnsi="Times New Roman" w:eastAsia="黑体" w:cs="黑体"/>
        </w:rPr>
        <w:t xml:space="preserve"> hereof; and</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(4) The articles of association, arbitration rules and list of members of the Overseas Arbitration Institution</w:t>
      </w:r>
      <w:r>
        <w:rPr>
          <w:rFonts w:hint="eastAsia" w:ascii="Times New Roman" w:hAnsi="Times New Roman" w:eastAsia="黑体" w:cs="黑体"/>
        </w:rPr>
        <w:t xml:space="preserve"> with their brief introductions</w:t>
      </w:r>
      <w:r>
        <w:rPr>
          <w:rFonts w:ascii="Times New Roman" w:hAnsi="Times New Roman" w:eastAsia="黑体" w:cs="黑体"/>
        </w:rPr>
        <w:t>.</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Any material in a foreign language shall be attached with the Chinese translation</w:t>
      </w:r>
      <w:r>
        <w:rPr>
          <w:rFonts w:hint="eastAsia" w:ascii="Times New Roman" w:hAnsi="Times New Roman" w:eastAsia="黑体" w:cs="黑体"/>
        </w:rPr>
        <w:t>.</w:t>
      </w:r>
      <w:r>
        <w:rPr>
          <w:rFonts w:ascii="Times New Roman" w:hAnsi="Times New Roman" w:eastAsia="黑体" w:cs="黑体"/>
        </w:rPr>
        <w:t xml:space="preserve"> </w:t>
      </w:r>
      <w:r>
        <w:rPr>
          <w:rFonts w:hint="eastAsia" w:ascii="Times New Roman" w:hAnsi="Times New Roman" w:eastAsia="黑体" w:cs="黑体"/>
        </w:rPr>
        <w:t>T</w:t>
      </w:r>
      <w:r>
        <w:rPr>
          <w:rFonts w:ascii="Times New Roman" w:hAnsi="Times New Roman" w:eastAsia="黑体" w:cs="黑体"/>
        </w:rPr>
        <w:t>he Chinese version shall prevail.</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 xml:space="preserve">Article </w:t>
      </w:r>
      <w:r>
        <w:rPr>
          <w:rFonts w:hint="eastAsia" w:ascii="Times New Roman" w:hAnsi="Times New Roman" w:eastAsia="黑体" w:cs="黑体"/>
          <w:b/>
          <w:bCs/>
        </w:rPr>
        <w:t>9</w:t>
      </w:r>
      <w:r>
        <w:rPr>
          <w:rFonts w:ascii="Times New Roman" w:hAnsi="Times New Roman" w:eastAsia="黑体" w:cs="黑体"/>
        </w:rPr>
        <w:tab/>
      </w:r>
      <w:r>
        <w:rPr>
          <w:rFonts w:ascii="Times New Roman" w:hAnsi="Times New Roman" w:eastAsia="黑体" w:cs="黑体"/>
        </w:rPr>
        <w:t xml:space="preserve">The Municipal Bureau of Justice shall, within five (5) working days upon receipt of the application materials, inform the applicant whether to accept an application, or </w:t>
      </w:r>
      <w:r>
        <w:rPr>
          <w:rFonts w:hint="eastAsia" w:ascii="Times New Roman" w:hAnsi="Times New Roman" w:eastAsia="黑体" w:cs="黑体"/>
        </w:rPr>
        <w:t xml:space="preserve">to </w:t>
      </w:r>
      <w:r>
        <w:rPr>
          <w:rFonts w:ascii="Times New Roman" w:hAnsi="Times New Roman" w:eastAsia="黑体" w:cs="黑体"/>
        </w:rPr>
        <w:t>inform the applicant all at once of all the materials that are required to be supplemented or corrected; and shall decide whether to grant a registration within twenty (20) days from the date of formal acceptance of an application. If a decision cannot be made within twenty (20) days, an extension for ten (10) days may be granted with the approval of the person in charge of the Municipal Bureau of Justice, and the applicant shall be informed of the reasons for the extension.</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The Municipal Bureau of Justice shall report the registered items of a Business Office to the Ministry of Justice for the record within ten (10) working days from the date of decision to grant the registration, and shall issue the registration certificate to the Business Office after the Ministry of Justice assigns a unified social credit code thereto.</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 xml:space="preserve">Article </w:t>
      </w:r>
      <w:r>
        <w:rPr>
          <w:rFonts w:hint="eastAsia" w:ascii="Times New Roman" w:hAnsi="Times New Roman" w:eastAsia="黑体" w:cs="黑体"/>
          <w:b/>
          <w:bCs/>
        </w:rPr>
        <w:t>10</w:t>
      </w:r>
      <w:r>
        <w:rPr>
          <w:rFonts w:ascii="Times New Roman" w:hAnsi="Times New Roman" w:eastAsia="黑体" w:cs="黑体"/>
        </w:rPr>
        <w:tab/>
      </w:r>
      <w:r>
        <w:rPr>
          <w:rFonts w:ascii="Times New Roman" w:hAnsi="Times New Roman" w:eastAsia="黑体" w:cs="黑体"/>
        </w:rPr>
        <w:t xml:space="preserve">A Business Office shall, within three (3) months from the date </w:t>
      </w:r>
      <w:r>
        <w:rPr>
          <w:rFonts w:hint="eastAsia" w:ascii="Times New Roman" w:hAnsi="Times New Roman" w:eastAsia="黑体" w:cs="黑体"/>
        </w:rPr>
        <w:t>on which</w:t>
      </w:r>
      <w:r>
        <w:rPr>
          <w:rFonts w:ascii="Times New Roman" w:hAnsi="Times New Roman" w:eastAsia="黑体" w:cs="黑体"/>
        </w:rPr>
        <w:t xml:space="preserve"> the Municipal Bureau of Justice grant</w:t>
      </w:r>
      <w:r>
        <w:rPr>
          <w:rFonts w:hint="eastAsia" w:ascii="Times New Roman" w:hAnsi="Times New Roman" w:eastAsia="黑体" w:cs="黑体"/>
        </w:rPr>
        <w:t>s</w:t>
      </w:r>
      <w:r>
        <w:rPr>
          <w:rFonts w:ascii="Times New Roman" w:hAnsi="Times New Roman" w:eastAsia="黑体" w:cs="黑体"/>
        </w:rPr>
        <w:t xml:space="preserve"> the registration</w:t>
      </w:r>
      <w:r>
        <w:rPr>
          <w:rFonts w:hint="eastAsia" w:ascii="Times New Roman" w:hAnsi="Times New Roman" w:eastAsia="黑体" w:cs="黑体"/>
        </w:rPr>
        <w:t xml:space="preserve"> certificate</w:t>
      </w:r>
      <w:r>
        <w:rPr>
          <w:rFonts w:ascii="Times New Roman" w:hAnsi="Times New Roman" w:eastAsia="黑体" w:cs="黑体"/>
        </w:rPr>
        <w:t>, submit the following materials to the Municipal Bureau of Justice for the record:</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(1) A description of basic information of the Business Office, including </w:t>
      </w:r>
      <w:r>
        <w:rPr>
          <w:rFonts w:hint="eastAsia" w:ascii="Times New Roman" w:hAnsi="Times New Roman" w:eastAsia="黑体" w:cs="黑体"/>
        </w:rPr>
        <w:t xml:space="preserve">but not limited to </w:t>
      </w:r>
      <w:r>
        <w:rPr>
          <w:rFonts w:ascii="Times New Roman" w:hAnsi="Times New Roman" w:eastAsia="黑体" w:cs="黑体"/>
        </w:rPr>
        <w:t>its name, domicile, principal</w:t>
      </w:r>
      <w:r>
        <w:rPr>
          <w:rFonts w:hint="eastAsia" w:ascii="Times New Roman" w:hAnsi="Times New Roman" w:eastAsia="黑体" w:cs="黑体"/>
        </w:rPr>
        <w:t xml:space="preserve"> and</w:t>
      </w:r>
      <w:r>
        <w:rPr>
          <w:rFonts w:ascii="Times New Roman" w:hAnsi="Times New Roman" w:eastAsia="黑体" w:cs="黑体"/>
        </w:rPr>
        <w:t xml:space="preserve"> business scope;</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(2) The list of a panel of arbitrators/experts or recommended panel of arbitrators/experts, if any; and the certificate of the domicile of the Business Office;</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(3) Registration form and personal ID materials of the principal and staff of the Business Office; and</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(4) A copy of the tax registration certificate, a specimen of seal and a bank account.</w:t>
      </w:r>
    </w:p>
    <w:p>
      <w:pPr>
        <w:pStyle w:val="3"/>
        <w:spacing w:after="0" w:afterLines="-2147483648" w:line="360" w:lineRule="auto"/>
        <w:ind w:firstLine="420" w:firstLineChars="200"/>
        <w:jc w:val="both"/>
        <w:rPr>
          <w:rFonts w:ascii="Times New Roman" w:hAnsi="Times New Roman" w:eastAsia="黑体" w:cs="黑体"/>
        </w:rPr>
      </w:pPr>
      <w:r>
        <w:rPr>
          <w:rFonts w:hint="eastAsia" w:ascii="Times New Roman" w:hAnsi="Times New Roman" w:eastAsia="黑体" w:cs="黑体"/>
        </w:rPr>
        <w:t>Where</w:t>
      </w:r>
      <w:r>
        <w:rPr>
          <w:rFonts w:ascii="Times New Roman" w:hAnsi="Times New Roman" w:eastAsia="黑体" w:cs="黑体"/>
        </w:rPr>
        <w:t xml:space="preserve">, due to special reasons, </w:t>
      </w:r>
      <w:r>
        <w:t>f</w:t>
      </w:r>
      <w:r>
        <w:rPr>
          <w:rFonts w:hint="eastAsia"/>
        </w:rPr>
        <w:t>ailing</w:t>
      </w:r>
      <w:r>
        <w:rPr>
          <w:rFonts w:ascii="Times New Roman" w:hAnsi="Times New Roman" w:eastAsia="黑体" w:cs="黑体"/>
        </w:rPr>
        <w:t xml:space="preserve"> to submit the materials specified in the preceding paragraph for the record within the prescribed time limit, an application for extension may be filed with the Municipal Bureau of Justice.</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1</w:t>
      </w:r>
      <w:r>
        <w:rPr>
          <w:rFonts w:ascii="Times New Roman" w:hAnsi="Times New Roman" w:eastAsia="黑体" w:cs="黑体"/>
        </w:rPr>
        <w:tab/>
      </w:r>
      <w:r>
        <w:rPr>
          <w:rFonts w:ascii="Times New Roman" w:hAnsi="Times New Roman" w:eastAsia="黑体" w:cs="黑体"/>
        </w:rPr>
        <w:t xml:space="preserve">In case of any change in the information of a Business Office that has been registered or reported for the record, </w:t>
      </w:r>
      <w:r>
        <w:rPr>
          <w:rFonts w:hint="eastAsia" w:ascii="Times New Roman" w:hAnsi="Times New Roman" w:eastAsia="黑体" w:cs="黑体"/>
        </w:rPr>
        <w:t>the Business Office</w:t>
      </w:r>
      <w:r>
        <w:rPr>
          <w:rFonts w:ascii="Times New Roman" w:hAnsi="Times New Roman" w:eastAsia="黑体" w:cs="黑体"/>
        </w:rPr>
        <w:t xml:space="preserve"> </w:t>
      </w:r>
      <w:r>
        <w:rPr>
          <w:rFonts w:hint="eastAsia" w:ascii="Times New Roman" w:hAnsi="Times New Roman" w:eastAsia="黑体" w:cs="黑体"/>
        </w:rPr>
        <w:t xml:space="preserve">concerned </w:t>
      </w:r>
      <w:r>
        <w:rPr>
          <w:rFonts w:ascii="Times New Roman" w:hAnsi="Times New Roman" w:eastAsia="黑体" w:cs="黑体"/>
        </w:rPr>
        <w:t>shall report the relevant information to the Municipal Bureau of Justice for the record within fifteen (15) days from the date of the change.</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2</w:t>
      </w:r>
      <w:r>
        <w:rPr>
          <w:rFonts w:ascii="Times New Roman" w:hAnsi="Times New Roman" w:eastAsia="黑体" w:cs="黑体"/>
        </w:rPr>
        <w:tab/>
      </w:r>
      <w:r>
        <w:rPr>
          <w:rFonts w:ascii="Times New Roman" w:hAnsi="Times New Roman" w:eastAsia="黑体" w:cs="黑体"/>
        </w:rPr>
        <w:t>A Business Office shall be encouraged to carry out international exchanges and cooperation in arbitration activities, and the following exchanges and cooperation shall be supported between a Business Office and arbitration institutions established in this Municipality:</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(1) Entering into cooperation agreements;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(2) Recommending to each other arbitrators and mediators;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(3) Providing to each other internship and exchange posts;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(4) </w:t>
      </w:r>
      <w:r>
        <w:rPr>
          <w:rFonts w:hint="eastAsia" w:ascii="Times New Roman" w:hAnsi="Times New Roman" w:eastAsia="黑体" w:cs="黑体"/>
        </w:rPr>
        <w:t>P</w:t>
      </w:r>
      <w:r>
        <w:t xml:space="preserve">roviding facilities </w:t>
      </w:r>
      <w:r>
        <w:rPr>
          <w:rFonts w:hint="eastAsia"/>
        </w:rPr>
        <w:t>o</w:t>
      </w:r>
      <w:r>
        <w:t>r rel</w:t>
      </w:r>
      <w:r>
        <w:rPr>
          <w:rFonts w:hint="eastAsia"/>
        </w:rPr>
        <w:t>e</w:t>
      </w:r>
      <w:r>
        <w:t>vant assistance to</w:t>
      </w:r>
      <w:r>
        <w:rPr>
          <w:rFonts w:ascii="Times New Roman" w:hAnsi="Times New Roman" w:eastAsia="黑体" w:cs="黑体"/>
        </w:rPr>
        <w:t xml:space="preserve"> each other’s arbitration activities such as trials and hearings;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(5) Jointly organizing training sessions, conferences, seminars and promotional activities; and</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(6) Other arbitration exchanges and cooperation.</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3</w:t>
      </w:r>
      <w:r>
        <w:rPr>
          <w:rFonts w:ascii="Times New Roman" w:hAnsi="Times New Roman" w:eastAsia="黑体" w:cs="黑体"/>
        </w:rPr>
        <w:tab/>
      </w:r>
      <w:r>
        <w:rPr>
          <w:rFonts w:ascii="Times New Roman" w:hAnsi="Times New Roman" w:eastAsia="黑体" w:cs="黑体"/>
        </w:rPr>
        <w:t xml:space="preserve">A Business Office shall make public </w:t>
      </w:r>
      <w:r>
        <w:rPr>
          <w:rFonts w:hint="eastAsia" w:ascii="Times New Roman" w:hAnsi="Times New Roman" w:eastAsia="黑体" w:cs="黑体"/>
        </w:rPr>
        <w:t>its</w:t>
      </w:r>
      <w:r>
        <w:rPr>
          <w:rFonts w:ascii="Times New Roman" w:hAnsi="Times New Roman" w:eastAsia="黑体" w:cs="黑体"/>
        </w:rPr>
        <w:t xml:space="preserve"> articles of association, arbitration rules and other important information on its official website or the public legal service website of this Municipality, and shall publish an annual work report for the previous year before March 31 of each year. An annual work report shall include:</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(1) Overview of arbitration activities;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(2) Any circumstances under which the arbitral awards are </w:t>
      </w:r>
      <w:r>
        <w:t>set aside</w:t>
      </w:r>
      <w:r>
        <w:rPr>
          <w:rFonts w:ascii="Times New Roman" w:hAnsi="Times New Roman" w:eastAsia="黑体" w:cs="黑体"/>
        </w:rPr>
        <w:t xml:space="preserve"> or not enforced, or not recognized and enforced by a court;</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(3) Audited financial reports;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(4) Changes in the list of the panel of arbitrators/experts or recommended panel of arbitrators/experts; and</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(5) Other information that is required to be published.</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4</w:t>
      </w:r>
      <w:r>
        <w:rPr>
          <w:rFonts w:ascii="Times New Roman" w:hAnsi="Times New Roman" w:eastAsia="黑体" w:cs="黑体"/>
        </w:rPr>
        <w:tab/>
      </w:r>
      <w:r>
        <w:rPr>
          <w:rFonts w:hint="eastAsia" w:ascii="Times New Roman" w:hAnsi="Times New Roman" w:eastAsia="黑体" w:cs="黑体"/>
        </w:rPr>
        <w:t>Where</w:t>
      </w:r>
      <w:r>
        <w:rPr>
          <w:rFonts w:ascii="Times New Roman" w:hAnsi="Times New Roman" w:eastAsia="黑体" w:cs="黑体"/>
        </w:rPr>
        <w:t xml:space="preserve"> an Overseas Arbitration Institution that establishes a Business Office decides to be terminated or decides to terminate the Business Office, it shall submit an application for deregistration to the Municipal Bureau of Justice.</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5</w:t>
      </w:r>
      <w:r>
        <w:rPr>
          <w:rFonts w:ascii="Times New Roman" w:hAnsi="Times New Roman" w:eastAsia="黑体" w:cs="黑体"/>
          <w:b/>
          <w:bCs/>
        </w:rPr>
        <w:tab/>
      </w:r>
      <w:r>
        <w:rPr>
          <w:rFonts w:ascii="Times New Roman" w:hAnsi="Times New Roman" w:eastAsia="黑体" w:cs="黑体"/>
        </w:rPr>
        <w:t>The Municipal Bureau of Justice shall deregister a Business Office and report to the Ministry of Justice for the record in the following events: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(1) The Overseas Arbitration Institution that establishes the Business Office is terminated;</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(2) The Overseas Arbitration Institution applies for the termination of the Business Office;</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(3) The establishment registration of the Business Office is revoked in accordance with the law; or</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(4) Other circumstances as stipulated by laws, regulations and rules.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A Business Office that is </w:t>
      </w:r>
      <w:r>
        <w:rPr>
          <w:rFonts w:hint="eastAsia" w:ascii="Times New Roman" w:hAnsi="Times New Roman" w:eastAsia="黑体" w:cs="黑体"/>
        </w:rPr>
        <w:t xml:space="preserve">to be </w:t>
      </w:r>
      <w:r>
        <w:rPr>
          <w:rFonts w:ascii="Times New Roman" w:hAnsi="Times New Roman" w:eastAsia="黑体" w:cs="黑体"/>
        </w:rPr>
        <w:t>deregistered in accordance with the preceding paragraph shall undergo liquidation before deregistration.</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6</w:t>
      </w:r>
      <w:r>
        <w:rPr>
          <w:rFonts w:ascii="Times New Roman" w:hAnsi="Times New Roman" w:eastAsia="黑体" w:cs="黑体"/>
        </w:rPr>
        <w:tab/>
      </w:r>
      <w:r>
        <w:rPr>
          <w:rFonts w:hint="eastAsia" w:ascii="Times New Roman" w:hAnsi="Times New Roman" w:eastAsia="黑体" w:cs="黑体"/>
        </w:rPr>
        <w:t>A</w:t>
      </w:r>
      <w:r>
        <w:rPr>
          <w:rFonts w:ascii="Times New Roman" w:hAnsi="Times New Roman" w:eastAsia="黑体" w:cs="黑体"/>
        </w:rPr>
        <w:t xml:space="preserve"> Business Office under any of the following circumstances shall not be deregistered:</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 xml:space="preserve">(1) The Business Office </w:t>
      </w:r>
      <w:r>
        <w:rPr>
          <w:rFonts w:hint="eastAsia" w:ascii="Times New Roman" w:hAnsi="Times New Roman" w:eastAsia="黑体" w:cs="黑体"/>
        </w:rPr>
        <w:t>has</w:t>
      </w:r>
      <w:r>
        <w:rPr>
          <w:rFonts w:ascii="Times New Roman" w:hAnsi="Times New Roman" w:eastAsia="黑体" w:cs="黑体"/>
        </w:rPr>
        <w:t xml:space="preserve"> pending arbitration cases;</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(2) The Business Office has outstanding tax payable;</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(3) The Business Office is suspected of being involved in a unit crime, with facts not being ascertained; or</w:t>
      </w:r>
    </w:p>
    <w:p>
      <w:pPr>
        <w:pStyle w:val="7"/>
        <w:spacing w:beforeAutospacing="0" w:after="0" w:afterLines="-2147483648" w:afterAutospacing="0" w:line="360" w:lineRule="auto"/>
        <w:ind w:firstLine="480" w:firstLineChars="200"/>
        <w:jc w:val="both"/>
        <w:rPr>
          <w:rFonts w:ascii="Times New Roman" w:hAnsi="Times New Roman" w:eastAsia="黑体" w:cs="黑体"/>
        </w:rPr>
      </w:pPr>
      <w:r>
        <w:rPr>
          <w:rFonts w:ascii="Times New Roman" w:hAnsi="Times New Roman" w:eastAsia="黑体" w:cs="黑体"/>
        </w:rPr>
        <w:t>(4) Other circumstances as stipulated by laws, regulations or rules under which it is inappropriate to apply for termination.</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7</w:t>
      </w:r>
      <w:r>
        <w:rPr>
          <w:rFonts w:ascii="Times New Roman" w:hAnsi="Times New Roman" w:eastAsia="黑体" w:cs="黑体"/>
        </w:rPr>
        <w:tab/>
      </w:r>
      <w:r>
        <w:rPr>
          <w:rFonts w:hint="eastAsia" w:ascii="Times New Roman" w:hAnsi="Times New Roman" w:eastAsia="黑体" w:cs="黑体"/>
        </w:rPr>
        <w:t>T</w:t>
      </w:r>
      <w:r>
        <w:rPr>
          <w:rFonts w:ascii="Times New Roman" w:hAnsi="Times New Roman" w:eastAsia="黑体" w:cs="黑体"/>
        </w:rPr>
        <w:t>he Municipal Bureau of Justice</w:t>
      </w:r>
      <w:r>
        <w:rPr>
          <w:rFonts w:hint="eastAsia" w:ascii="Times New Roman" w:hAnsi="Times New Roman" w:eastAsia="黑体" w:cs="黑体"/>
        </w:rPr>
        <w:t xml:space="preserve"> shall publish the</w:t>
      </w:r>
      <w:r>
        <w:rPr>
          <w:rFonts w:ascii="Times New Roman" w:hAnsi="Times New Roman" w:eastAsia="黑体" w:cs="黑体"/>
        </w:rPr>
        <w:t xml:space="preserve"> information regarding the establishment, change and deregistration of a Business Office via its official website</w:t>
      </w:r>
      <w:r>
        <w:rPr>
          <w:rFonts w:hint="eastAsia" w:ascii="Times New Roman" w:hAnsi="Times New Roman" w:eastAsia="黑体" w:cs="黑体"/>
        </w:rPr>
        <w:t>, the municipal public legal service website</w:t>
      </w:r>
      <w:r>
        <w:rPr>
          <w:rFonts w:ascii="Times New Roman" w:hAnsi="Times New Roman" w:eastAsia="黑体" w:cs="黑体"/>
        </w:rPr>
        <w:t xml:space="preserve"> or other proper channels.</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8</w:t>
      </w:r>
      <w:r>
        <w:rPr>
          <w:rFonts w:ascii="Times New Roman" w:hAnsi="Times New Roman" w:eastAsia="黑体" w:cs="黑体"/>
        </w:rPr>
        <w:tab/>
      </w:r>
      <w:r>
        <w:rPr>
          <w:rFonts w:hint="eastAsia" w:ascii="Times New Roman" w:hAnsi="Times New Roman" w:eastAsia="黑体" w:cs="黑体"/>
        </w:rPr>
        <w:t>Where</w:t>
      </w:r>
      <w:r>
        <w:rPr>
          <w:rFonts w:ascii="Times New Roman" w:hAnsi="Times New Roman" w:eastAsia="黑体" w:cs="黑体"/>
        </w:rPr>
        <w:t xml:space="preserve"> an Overseas Arbitration Institution obtains the registration of a Business Office by means of fraud, the Municipal Bureau of Justice shall revoke its registration and report the matter to the Ministry of Justice for the record.</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1</w:t>
      </w:r>
      <w:r>
        <w:rPr>
          <w:rFonts w:hint="eastAsia" w:ascii="Times New Roman" w:hAnsi="Times New Roman" w:eastAsia="黑体" w:cs="黑体"/>
          <w:b/>
          <w:bCs/>
        </w:rPr>
        <w:t>9</w:t>
      </w:r>
      <w:r>
        <w:rPr>
          <w:rFonts w:ascii="Times New Roman" w:hAnsi="Times New Roman" w:eastAsia="黑体" w:cs="黑体"/>
        </w:rPr>
        <w:tab/>
      </w:r>
      <w:r>
        <w:rPr>
          <w:rFonts w:hint="eastAsia" w:ascii="Times New Roman" w:hAnsi="Times New Roman" w:eastAsia="黑体" w:cs="黑体"/>
        </w:rPr>
        <w:t>Where</w:t>
      </w:r>
      <w:r>
        <w:rPr>
          <w:rFonts w:ascii="Times New Roman" w:hAnsi="Times New Roman" w:eastAsia="黑体" w:cs="黑体"/>
        </w:rPr>
        <w:t xml:space="preserve"> a Business Office, its principal and </w:t>
      </w:r>
      <w:r>
        <w:rPr>
          <w:rFonts w:hint="eastAsia" w:ascii="Times New Roman" w:hAnsi="Times New Roman" w:eastAsia="黑体" w:cs="黑体"/>
        </w:rPr>
        <w:t xml:space="preserve">other </w:t>
      </w:r>
      <w:r>
        <w:rPr>
          <w:rFonts w:ascii="Times New Roman" w:hAnsi="Times New Roman" w:eastAsia="黑体" w:cs="黑体"/>
        </w:rPr>
        <w:t>staff violate the provisions of the PRC laws, regulations and rules, and of the</w:t>
      </w:r>
      <w:r>
        <w:rPr>
          <w:rFonts w:hint="eastAsia" w:ascii="Times New Roman" w:hAnsi="Times New Roman" w:eastAsia="黑体" w:cs="黑体"/>
        </w:rPr>
        <w:t>se</w:t>
      </w:r>
      <w:r>
        <w:rPr>
          <w:rFonts w:ascii="Times New Roman" w:hAnsi="Times New Roman" w:eastAsia="黑体" w:cs="黑体"/>
        </w:rPr>
        <w:t xml:space="preserve"> Administrative Measures in the process of conducting foreign-related arbitrations, the Municipal Bureau of Justice shall handle it in accordance with the law or transfer the case to the relevant authority for handling.</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 xml:space="preserve">Article </w:t>
      </w:r>
      <w:r>
        <w:rPr>
          <w:rFonts w:hint="eastAsia" w:ascii="Times New Roman" w:hAnsi="Times New Roman" w:eastAsia="黑体" w:cs="黑体"/>
          <w:b/>
          <w:bCs/>
        </w:rPr>
        <w:t>20</w:t>
      </w:r>
      <w:r>
        <w:rPr>
          <w:rFonts w:ascii="Times New Roman" w:hAnsi="Times New Roman" w:eastAsia="黑体" w:cs="黑体"/>
        </w:rPr>
        <w:tab/>
      </w:r>
      <w:r>
        <w:rPr>
          <w:rFonts w:ascii="Times New Roman" w:hAnsi="Times New Roman" w:eastAsia="黑体" w:cs="黑体"/>
        </w:rPr>
        <w:t>The</w:t>
      </w:r>
      <w:r>
        <w:rPr>
          <w:rFonts w:hint="eastAsia" w:ascii="Times New Roman" w:hAnsi="Times New Roman" w:eastAsia="黑体" w:cs="黑体"/>
        </w:rPr>
        <w:t>se</w:t>
      </w:r>
      <w:r>
        <w:rPr>
          <w:rFonts w:ascii="Times New Roman" w:hAnsi="Times New Roman" w:eastAsia="黑体" w:cs="黑体"/>
        </w:rPr>
        <w:t xml:space="preserve"> Administrative Measures shall be referred to in the establishment of Business Offices by Overseas Arbitration Institutions in Daxing Airport Area (Beijing Area) of China (Hebei) Pilot Free Trade Zone.</w:t>
      </w:r>
    </w:p>
    <w:p>
      <w:pPr>
        <w:pStyle w:val="7"/>
        <w:spacing w:beforeAutospacing="0" w:after="0" w:afterLines="-2147483648" w:afterAutospacing="0" w:line="360" w:lineRule="auto"/>
        <w:ind w:firstLine="482" w:firstLineChars="200"/>
        <w:jc w:val="both"/>
        <w:rPr>
          <w:rFonts w:ascii="Times New Roman" w:hAnsi="Times New Roman" w:eastAsia="黑体" w:cs="黑体"/>
        </w:rPr>
      </w:pPr>
      <w:r>
        <w:rPr>
          <w:rFonts w:ascii="Times New Roman" w:hAnsi="Times New Roman" w:eastAsia="黑体" w:cs="黑体"/>
          <w:b/>
          <w:bCs/>
        </w:rPr>
        <w:t>Article 2</w:t>
      </w:r>
      <w:r>
        <w:rPr>
          <w:rFonts w:hint="eastAsia" w:ascii="Times New Roman" w:hAnsi="Times New Roman" w:eastAsia="黑体" w:cs="黑体"/>
          <w:b/>
          <w:bCs/>
        </w:rPr>
        <w:t>1</w:t>
      </w:r>
      <w:r>
        <w:rPr>
          <w:rFonts w:ascii="Times New Roman" w:hAnsi="Times New Roman" w:eastAsia="黑体" w:cs="黑体"/>
        </w:rPr>
        <w:tab/>
      </w:r>
      <w:r>
        <w:rPr>
          <w:rFonts w:ascii="Times New Roman" w:hAnsi="Times New Roman" w:eastAsia="黑体" w:cs="黑体"/>
        </w:rPr>
        <w:t>The</w:t>
      </w:r>
      <w:r>
        <w:rPr>
          <w:rFonts w:hint="eastAsia" w:ascii="Times New Roman" w:hAnsi="Times New Roman" w:eastAsia="黑体" w:cs="黑体"/>
        </w:rPr>
        <w:t>se</w:t>
      </w:r>
      <w:r>
        <w:rPr>
          <w:rFonts w:ascii="Times New Roman" w:hAnsi="Times New Roman" w:eastAsia="黑体" w:cs="黑体"/>
        </w:rPr>
        <w:t xml:space="preserve"> Administrative Measures shall come into force </w:t>
      </w:r>
      <w:r>
        <w:rPr>
          <w:rFonts w:hint="eastAsia" w:ascii="Times New Roman" w:hAnsi="Times New Roman" w:eastAsia="黑体" w:cs="黑体"/>
        </w:rPr>
        <w:t>on</w:t>
      </w:r>
      <w:r>
        <w:rPr>
          <w:rFonts w:ascii="Times New Roman" w:hAnsi="Times New Roman" w:eastAsia="黑体" w:cs="黑体"/>
        </w:rPr>
        <w:t xml:space="preserve"> January 1, 2021.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5"/>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2F6C30"/>
    <w:rsid w:val="0002704A"/>
    <w:rsid w:val="00072512"/>
    <w:rsid w:val="00077A21"/>
    <w:rsid w:val="00092F74"/>
    <w:rsid w:val="000A0011"/>
    <w:rsid w:val="000A0657"/>
    <w:rsid w:val="000B5A16"/>
    <w:rsid w:val="000D56D3"/>
    <w:rsid w:val="00107425"/>
    <w:rsid w:val="00111157"/>
    <w:rsid w:val="00137F19"/>
    <w:rsid w:val="00183581"/>
    <w:rsid w:val="00192D2F"/>
    <w:rsid w:val="001B423C"/>
    <w:rsid w:val="001D59B6"/>
    <w:rsid w:val="001D78A8"/>
    <w:rsid w:val="001F5F5D"/>
    <w:rsid w:val="001F71B9"/>
    <w:rsid w:val="002130B9"/>
    <w:rsid w:val="00227A6B"/>
    <w:rsid w:val="0023096F"/>
    <w:rsid w:val="0023273F"/>
    <w:rsid w:val="00240ADF"/>
    <w:rsid w:val="00287E15"/>
    <w:rsid w:val="002B7093"/>
    <w:rsid w:val="002C0901"/>
    <w:rsid w:val="002D29AB"/>
    <w:rsid w:val="002E5CF0"/>
    <w:rsid w:val="002E704A"/>
    <w:rsid w:val="002F0513"/>
    <w:rsid w:val="002F7906"/>
    <w:rsid w:val="0033250D"/>
    <w:rsid w:val="003761BA"/>
    <w:rsid w:val="00377870"/>
    <w:rsid w:val="00386277"/>
    <w:rsid w:val="003A0C0C"/>
    <w:rsid w:val="003A1338"/>
    <w:rsid w:val="003A68D9"/>
    <w:rsid w:val="003B245E"/>
    <w:rsid w:val="003C32A6"/>
    <w:rsid w:val="00401CA9"/>
    <w:rsid w:val="00403FA8"/>
    <w:rsid w:val="004175B1"/>
    <w:rsid w:val="00417AC5"/>
    <w:rsid w:val="004213AC"/>
    <w:rsid w:val="004252D9"/>
    <w:rsid w:val="00431A3E"/>
    <w:rsid w:val="00470C73"/>
    <w:rsid w:val="004755D2"/>
    <w:rsid w:val="00487FC5"/>
    <w:rsid w:val="00490506"/>
    <w:rsid w:val="004A1C4D"/>
    <w:rsid w:val="004B0978"/>
    <w:rsid w:val="004B439B"/>
    <w:rsid w:val="004D2B3E"/>
    <w:rsid w:val="004D30BF"/>
    <w:rsid w:val="004E08CF"/>
    <w:rsid w:val="004E6F90"/>
    <w:rsid w:val="005041EB"/>
    <w:rsid w:val="00525097"/>
    <w:rsid w:val="005311EB"/>
    <w:rsid w:val="00580FB3"/>
    <w:rsid w:val="00582400"/>
    <w:rsid w:val="00583014"/>
    <w:rsid w:val="005A0A1A"/>
    <w:rsid w:val="005F1B7C"/>
    <w:rsid w:val="005F5323"/>
    <w:rsid w:val="0060047C"/>
    <w:rsid w:val="006065A1"/>
    <w:rsid w:val="00610260"/>
    <w:rsid w:val="006126E6"/>
    <w:rsid w:val="00617476"/>
    <w:rsid w:val="00624E6C"/>
    <w:rsid w:val="00626E05"/>
    <w:rsid w:val="006442A2"/>
    <w:rsid w:val="006731CD"/>
    <w:rsid w:val="00676491"/>
    <w:rsid w:val="0067668E"/>
    <w:rsid w:val="006803FD"/>
    <w:rsid w:val="006A46B8"/>
    <w:rsid w:val="006A5B44"/>
    <w:rsid w:val="006B054D"/>
    <w:rsid w:val="006B5759"/>
    <w:rsid w:val="006C1B10"/>
    <w:rsid w:val="006E3199"/>
    <w:rsid w:val="006E49E3"/>
    <w:rsid w:val="006E6096"/>
    <w:rsid w:val="00700C76"/>
    <w:rsid w:val="00712ED9"/>
    <w:rsid w:val="00721515"/>
    <w:rsid w:val="0072178A"/>
    <w:rsid w:val="00722A4A"/>
    <w:rsid w:val="00784E3A"/>
    <w:rsid w:val="007A2387"/>
    <w:rsid w:val="007C33F7"/>
    <w:rsid w:val="007D494F"/>
    <w:rsid w:val="007D7E9B"/>
    <w:rsid w:val="007F3C58"/>
    <w:rsid w:val="00801A53"/>
    <w:rsid w:val="00812404"/>
    <w:rsid w:val="00812D1D"/>
    <w:rsid w:val="008503E0"/>
    <w:rsid w:val="008508A7"/>
    <w:rsid w:val="00853E50"/>
    <w:rsid w:val="0085437A"/>
    <w:rsid w:val="00857314"/>
    <w:rsid w:val="00862132"/>
    <w:rsid w:val="00872620"/>
    <w:rsid w:val="00881F11"/>
    <w:rsid w:val="008B012F"/>
    <w:rsid w:val="008B2D2B"/>
    <w:rsid w:val="008B340D"/>
    <w:rsid w:val="008E2CCB"/>
    <w:rsid w:val="008E7F2E"/>
    <w:rsid w:val="00902291"/>
    <w:rsid w:val="00910B85"/>
    <w:rsid w:val="00921279"/>
    <w:rsid w:val="009274D0"/>
    <w:rsid w:val="0096762C"/>
    <w:rsid w:val="00967C74"/>
    <w:rsid w:val="00994815"/>
    <w:rsid w:val="009A24E1"/>
    <w:rsid w:val="009A35EF"/>
    <w:rsid w:val="009A719A"/>
    <w:rsid w:val="009B6544"/>
    <w:rsid w:val="009C0264"/>
    <w:rsid w:val="009C45EC"/>
    <w:rsid w:val="009D5AB8"/>
    <w:rsid w:val="009E2F38"/>
    <w:rsid w:val="009E4BCE"/>
    <w:rsid w:val="009F4073"/>
    <w:rsid w:val="00A009F4"/>
    <w:rsid w:val="00A04B41"/>
    <w:rsid w:val="00A04C87"/>
    <w:rsid w:val="00A17392"/>
    <w:rsid w:val="00A174D5"/>
    <w:rsid w:val="00A319DD"/>
    <w:rsid w:val="00A75DD1"/>
    <w:rsid w:val="00A8692B"/>
    <w:rsid w:val="00AA0817"/>
    <w:rsid w:val="00AA17AE"/>
    <w:rsid w:val="00AA1927"/>
    <w:rsid w:val="00AB44F7"/>
    <w:rsid w:val="00AB71C2"/>
    <w:rsid w:val="00AD52B6"/>
    <w:rsid w:val="00AE270D"/>
    <w:rsid w:val="00AF4C6E"/>
    <w:rsid w:val="00B020E3"/>
    <w:rsid w:val="00B079E9"/>
    <w:rsid w:val="00B1036B"/>
    <w:rsid w:val="00B1154F"/>
    <w:rsid w:val="00B151E9"/>
    <w:rsid w:val="00B156ED"/>
    <w:rsid w:val="00B25BB6"/>
    <w:rsid w:val="00B60074"/>
    <w:rsid w:val="00B65A4D"/>
    <w:rsid w:val="00B75787"/>
    <w:rsid w:val="00B77297"/>
    <w:rsid w:val="00B773B2"/>
    <w:rsid w:val="00BA1A69"/>
    <w:rsid w:val="00BA1B92"/>
    <w:rsid w:val="00BB7E82"/>
    <w:rsid w:val="00BD44A0"/>
    <w:rsid w:val="00BE254B"/>
    <w:rsid w:val="00BF4345"/>
    <w:rsid w:val="00C21E54"/>
    <w:rsid w:val="00C557E6"/>
    <w:rsid w:val="00C8126B"/>
    <w:rsid w:val="00C91955"/>
    <w:rsid w:val="00C92B9F"/>
    <w:rsid w:val="00CA12B7"/>
    <w:rsid w:val="00CE56F0"/>
    <w:rsid w:val="00D02E02"/>
    <w:rsid w:val="00D10262"/>
    <w:rsid w:val="00D44E68"/>
    <w:rsid w:val="00D45DC8"/>
    <w:rsid w:val="00D51563"/>
    <w:rsid w:val="00D71F36"/>
    <w:rsid w:val="00DA27E2"/>
    <w:rsid w:val="00DF0A7A"/>
    <w:rsid w:val="00E0547E"/>
    <w:rsid w:val="00E067E7"/>
    <w:rsid w:val="00E10E1A"/>
    <w:rsid w:val="00E10F3C"/>
    <w:rsid w:val="00E131A6"/>
    <w:rsid w:val="00E1517F"/>
    <w:rsid w:val="00E24D5B"/>
    <w:rsid w:val="00E25D97"/>
    <w:rsid w:val="00E534D1"/>
    <w:rsid w:val="00E62494"/>
    <w:rsid w:val="00E64ED6"/>
    <w:rsid w:val="00E813F8"/>
    <w:rsid w:val="00ED56B7"/>
    <w:rsid w:val="00F062D5"/>
    <w:rsid w:val="00F13066"/>
    <w:rsid w:val="00F215EB"/>
    <w:rsid w:val="00F21B05"/>
    <w:rsid w:val="00F24834"/>
    <w:rsid w:val="00F40AE4"/>
    <w:rsid w:val="00F47AF6"/>
    <w:rsid w:val="00F5064C"/>
    <w:rsid w:val="00F53B7E"/>
    <w:rsid w:val="00F57073"/>
    <w:rsid w:val="00F60CE0"/>
    <w:rsid w:val="00F75AB1"/>
    <w:rsid w:val="00F81793"/>
    <w:rsid w:val="00F86DEB"/>
    <w:rsid w:val="00F91404"/>
    <w:rsid w:val="00FB06C7"/>
    <w:rsid w:val="00FF503D"/>
    <w:rsid w:val="03C27F91"/>
    <w:rsid w:val="05BA78D9"/>
    <w:rsid w:val="06995763"/>
    <w:rsid w:val="06D800C2"/>
    <w:rsid w:val="083B3D10"/>
    <w:rsid w:val="08A237EC"/>
    <w:rsid w:val="097D4F3B"/>
    <w:rsid w:val="0A183050"/>
    <w:rsid w:val="0A807C71"/>
    <w:rsid w:val="0AEF2097"/>
    <w:rsid w:val="0B0B0A24"/>
    <w:rsid w:val="0DFC0E0E"/>
    <w:rsid w:val="10650AF3"/>
    <w:rsid w:val="12087697"/>
    <w:rsid w:val="13BC2A93"/>
    <w:rsid w:val="143116B9"/>
    <w:rsid w:val="147567D5"/>
    <w:rsid w:val="15A639BE"/>
    <w:rsid w:val="16922275"/>
    <w:rsid w:val="176C7689"/>
    <w:rsid w:val="17C17FC9"/>
    <w:rsid w:val="17C55330"/>
    <w:rsid w:val="183F0129"/>
    <w:rsid w:val="191961D8"/>
    <w:rsid w:val="1A8225A1"/>
    <w:rsid w:val="1B5F4F13"/>
    <w:rsid w:val="1BC50030"/>
    <w:rsid w:val="1C6F41B9"/>
    <w:rsid w:val="1DAF6C30"/>
    <w:rsid w:val="1FFC5329"/>
    <w:rsid w:val="20FE4CA9"/>
    <w:rsid w:val="226C1C13"/>
    <w:rsid w:val="227A3353"/>
    <w:rsid w:val="23085BF6"/>
    <w:rsid w:val="235B7728"/>
    <w:rsid w:val="24837B24"/>
    <w:rsid w:val="284D2F99"/>
    <w:rsid w:val="2BAB4A22"/>
    <w:rsid w:val="2BAC142C"/>
    <w:rsid w:val="2D30461F"/>
    <w:rsid w:val="2DC4276C"/>
    <w:rsid w:val="2E237BB0"/>
    <w:rsid w:val="2EC3429B"/>
    <w:rsid w:val="2F1A57B4"/>
    <w:rsid w:val="31E33D3F"/>
    <w:rsid w:val="34743787"/>
    <w:rsid w:val="3500691A"/>
    <w:rsid w:val="3603339A"/>
    <w:rsid w:val="36DF55CE"/>
    <w:rsid w:val="38BB4951"/>
    <w:rsid w:val="390B6F9B"/>
    <w:rsid w:val="39837FCB"/>
    <w:rsid w:val="39F41E47"/>
    <w:rsid w:val="3B0C2E6E"/>
    <w:rsid w:val="3B1055B9"/>
    <w:rsid w:val="3C116D07"/>
    <w:rsid w:val="3C9D6936"/>
    <w:rsid w:val="3CA22B73"/>
    <w:rsid w:val="3D8B3EFB"/>
    <w:rsid w:val="3DA23FB2"/>
    <w:rsid w:val="3DFA42EA"/>
    <w:rsid w:val="3FA62E38"/>
    <w:rsid w:val="3FD133F5"/>
    <w:rsid w:val="40C826AE"/>
    <w:rsid w:val="41C63379"/>
    <w:rsid w:val="4392714B"/>
    <w:rsid w:val="43EC1A6A"/>
    <w:rsid w:val="452F6C30"/>
    <w:rsid w:val="45F02088"/>
    <w:rsid w:val="46BB5FA3"/>
    <w:rsid w:val="46D84CF0"/>
    <w:rsid w:val="478B7834"/>
    <w:rsid w:val="4B322F86"/>
    <w:rsid w:val="4CB2361A"/>
    <w:rsid w:val="4EAB56C6"/>
    <w:rsid w:val="52086979"/>
    <w:rsid w:val="53FC76B5"/>
    <w:rsid w:val="54A96AF2"/>
    <w:rsid w:val="55C1578A"/>
    <w:rsid w:val="562B43E1"/>
    <w:rsid w:val="576C3C07"/>
    <w:rsid w:val="57B74FE8"/>
    <w:rsid w:val="5A4540F8"/>
    <w:rsid w:val="5D531B17"/>
    <w:rsid w:val="5D99530E"/>
    <w:rsid w:val="5E253219"/>
    <w:rsid w:val="5E276222"/>
    <w:rsid w:val="5E904C70"/>
    <w:rsid w:val="5EA30433"/>
    <w:rsid w:val="605D294E"/>
    <w:rsid w:val="63C07E3C"/>
    <w:rsid w:val="64C57C33"/>
    <w:rsid w:val="65CB7DE6"/>
    <w:rsid w:val="68701B61"/>
    <w:rsid w:val="68BD6415"/>
    <w:rsid w:val="6B54433F"/>
    <w:rsid w:val="6BEA50D0"/>
    <w:rsid w:val="6E5C71AB"/>
    <w:rsid w:val="70FB1B8B"/>
    <w:rsid w:val="717711B4"/>
    <w:rsid w:val="71983CCF"/>
    <w:rsid w:val="72126541"/>
    <w:rsid w:val="729F2AD9"/>
    <w:rsid w:val="72EB4177"/>
    <w:rsid w:val="742372C9"/>
    <w:rsid w:val="74EB3E3C"/>
    <w:rsid w:val="75A00F7C"/>
    <w:rsid w:val="76E76536"/>
    <w:rsid w:val="78422599"/>
    <w:rsid w:val="78FD4002"/>
    <w:rsid w:val="79B16BBB"/>
    <w:rsid w:val="7A243461"/>
    <w:rsid w:val="7BA633CF"/>
    <w:rsid w:val="7CE46517"/>
    <w:rsid w:val="7DB540E4"/>
    <w:rsid w:val="7E2B70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character" w:customStyle="1" w:styleId="10">
    <w:name w:val="标题 1 字符"/>
    <w:basedOn w:val="9"/>
    <w:link w:val="2"/>
    <w:qFormat/>
    <w:locked/>
    <w:uiPriority w:val="99"/>
    <w:rPr>
      <w:rFonts w:ascii="Calibri" w:hAnsi="Calibri" w:cs="Times New Roman"/>
      <w:b/>
      <w:bCs/>
      <w:kern w:val="44"/>
      <w:sz w:val="44"/>
      <w:szCs w:val="44"/>
    </w:rPr>
  </w:style>
  <w:style w:type="character" w:customStyle="1" w:styleId="11">
    <w:name w:val="页脚 字符"/>
    <w:basedOn w:val="9"/>
    <w:link w:val="5"/>
    <w:semiHidden/>
    <w:qFormat/>
    <w:locked/>
    <w:uiPriority w:val="99"/>
    <w:rPr>
      <w:rFonts w:ascii="Calibri" w:hAnsi="Calibri" w:cs="Times New Roman"/>
      <w:sz w:val="18"/>
      <w:szCs w:val="18"/>
    </w:rPr>
  </w:style>
  <w:style w:type="character" w:customStyle="1" w:styleId="12">
    <w:name w:val="页眉 字符"/>
    <w:basedOn w:val="9"/>
    <w:link w:val="6"/>
    <w:semiHidden/>
    <w:qFormat/>
    <w:locked/>
    <w:uiPriority w:val="99"/>
    <w:rPr>
      <w:rFonts w:ascii="Calibri" w:hAnsi="Calibri" w:cs="Times New Roman"/>
      <w:sz w:val="18"/>
      <w:szCs w:val="18"/>
    </w:rPr>
  </w:style>
  <w:style w:type="character" w:customStyle="1" w:styleId="13">
    <w:name w:val="批注框文本 字符"/>
    <w:basedOn w:val="9"/>
    <w:link w:val="4"/>
    <w:semiHidden/>
    <w:qFormat/>
    <w:locked/>
    <w:uiPriority w:val="99"/>
    <w:rPr>
      <w:rFonts w:ascii="Calibri" w:hAnsi="Calibri" w:cs="Times New Roman"/>
      <w:sz w:val="2"/>
    </w:rPr>
  </w:style>
  <w:style w:type="paragraph" w:customStyle="1" w:styleId="14">
    <w:name w:val="Revision"/>
    <w:hidden/>
    <w:semiHidden/>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DDE38-94BD-F24C-9B12-5588F651655B}">
  <ds:schemaRefs/>
</ds:datastoreItem>
</file>

<file path=docProps/app.xml><?xml version="1.0" encoding="utf-8"?>
<Properties xmlns="http://schemas.openxmlformats.org/officeDocument/2006/extended-properties" xmlns:vt="http://schemas.openxmlformats.org/officeDocument/2006/docPropsVTypes">
  <Template>Normal</Template>
  <Pages>1</Pages>
  <Words>1713</Words>
  <Characters>9766</Characters>
  <Lines>81</Lines>
  <Paragraphs>22</Paragraphs>
  <TotalTime>22</TotalTime>
  <ScaleCrop>false</ScaleCrop>
  <LinksUpToDate>false</LinksUpToDate>
  <CharactersWithSpaces>11457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2020-12-28T02:25:00Z</dcterms:created>
  <dc:creator>jll</dc:creator>
  <cp:lastModifiedBy>魏盛阳</cp:lastModifiedBy>
  <cp:lastPrinted>2020-12-23T08:55:00Z</cp:lastPrinted>
  <dcterms:modified xsi:type="dcterms:W3CDTF">2020-12-31T02:45:01Z</dcterms:modified>
  <dc:title>境外仲裁机构在中国（北京）自由贸易试验区设立业务机构登记管理办法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