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adjustRightInd w:val="0"/>
        <w:snapToGrid w:val="0"/>
        <w:spacing w:line="360" w:lineRule="auto"/>
        <w:jc w:val="center"/>
        <w:rPr>
          <w:rFonts w:ascii="黑体" w:hAnsi="黑体" w:eastAsia="黑体"/>
          <w:b/>
          <w:sz w:val="56"/>
          <w:szCs w:val="56"/>
          <w:lang w:val="zh-CN"/>
        </w:rPr>
      </w:pPr>
      <w:r>
        <w:rPr>
          <w:rFonts w:hint="eastAsia" w:ascii="黑体" w:hAnsi="黑体" w:eastAsia="黑体"/>
          <w:b/>
          <w:sz w:val="56"/>
          <w:szCs w:val="56"/>
          <w:lang w:val="zh-CN"/>
        </w:rPr>
        <w:t>北京市司法局2</w:t>
      </w:r>
      <w:r>
        <w:rPr>
          <w:rFonts w:ascii="黑体" w:hAnsi="黑体" w:eastAsia="黑体"/>
          <w:b/>
          <w:sz w:val="56"/>
          <w:szCs w:val="56"/>
          <w:lang w:val="zh-CN"/>
        </w:rPr>
        <w:t>02</w:t>
      </w:r>
      <w:r>
        <w:rPr>
          <w:rFonts w:hint="eastAsia" w:ascii="黑体" w:hAnsi="黑体" w:eastAsia="黑体"/>
          <w:b/>
          <w:sz w:val="56"/>
          <w:szCs w:val="56"/>
          <w:lang w:val="zh-CN"/>
        </w:rPr>
        <w:t>3年度部门整体</w:t>
      </w:r>
    </w:p>
    <w:p>
      <w:pPr>
        <w:adjustRightInd w:val="0"/>
        <w:snapToGrid w:val="0"/>
        <w:spacing w:line="360" w:lineRule="auto"/>
        <w:jc w:val="center"/>
        <w:rPr>
          <w:rFonts w:ascii="黑体" w:hAnsi="黑体" w:eastAsia="黑体"/>
          <w:b/>
          <w:sz w:val="56"/>
          <w:szCs w:val="56"/>
          <w:lang w:val="zh-CN"/>
        </w:rPr>
      </w:pPr>
      <w:r>
        <w:rPr>
          <w:rFonts w:hint="eastAsia" w:ascii="黑体" w:hAnsi="黑体" w:eastAsia="黑体"/>
          <w:b/>
          <w:sz w:val="56"/>
          <w:szCs w:val="56"/>
          <w:lang w:val="zh-CN"/>
        </w:rPr>
        <w:t>绩 效 评 价 报 告</w:t>
      </w: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ind w:left="1260" w:leftChars="600"/>
        <w:jc w:val="center"/>
        <w:rPr>
          <w:rFonts w:ascii="方正小标宋简体" w:eastAsia="方正小标宋简体"/>
          <w:sz w:val="36"/>
          <w:szCs w:val="36"/>
        </w:rPr>
      </w:pPr>
    </w:p>
    <w:p>
      <w:pPr>
        <w:spacing w:line="560" w:lineRule="exact"/>
        <w:jc w:val="center"/>
        <w:rPr>
          <w:rFonts w:ascii="仿宋_GB2312" w:eastAsia="仿宋_GB2312"/>
          <w:b/>
          <w:bCs/>
          <w:sz w:val="32"/>
          <w:szCs w:val="32"/>
        </w:rPr>
      </w:pPr>
      <w:r>
        <w:rPr>
          <w:rFonts w:hint="eastAsia" w:ascii="仿宋_GB2312" w:eastAsia="仿宋_GB2312"/>
          <w:b/>
          <w:bCs/>
          <w:sz w:val="32"/>
          <w:szCs w:val="32"/>
        </w:rPr>
        <w:t>填报时间：2024年5月</w:t>
      </w: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sectPr>
          <w:footerReference r:id="rId4" w:type="default"/>
          <w:pgSz w:w="11906" w:h="16838"/>
          <w:pgMar w:top="1440" w:right="1800" w:bottom="1440" w:left="1800" w:header="851" w:footer="964" w:gutter="0"/>
          <w:pgNumType w:start="1"/>
          <w:cols w:space="425" w:num="1"/>
          <w:docGrid w:type="lines" w:linePitch="435" w:charSpace="0"/>
        </w:sectPr>
      </w:pPr>
    </w:p>
    <w:p>
      <w:pPr>
        <w:adjustRightInd w:val="0"/>
        <w:snapToGrid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北京市司法局2</w:t>
      </w:r>
      <w:r>
        <w:rPr>
          <w:rFonts w:ascii="方正小标宋简体" w:eastAsia="方正小标宋简体"/>
          <w:sz w:val="44"/>
          <w:szCs w:val="44"/>
        </w:rPr>
        <w:t>02</w:t>
      </w:r>
      <w:r>
        <w:rPr>
          <w:rFonts w:hint="eastAsia" w:ascii="方正小标宋简体" w:eastAsia="方正小标宋简体"/>
          <w:sz w:val="44"/>
          <w:szCs w:val="44"/>
        </w:rPr>
        <w:t>3年度部门整体绩效评价报告</w:t>
      </w:r>
    </w:p>
    <w:p>
      <w:pPr>
        <w:jc w:val="center"/>
        <w:rPr>
          <w:rFonts w:ascii="仿宋_GB2312"/>
          <w:szCs w:val="30"/>
        </w:rPr>
      </w:pPr>
    </w:p>
    <w:p>
      <w:pPr>
        <w:pStyle w:val="18"/>
      </w:pPr>
      <w:r>
        <w:rPr>
          <w:rFonts w:hint="eastAsia"/>
        </w:rPr>
        <w:t>一、部门概况</w:t>
      </w:r>
    </w:p>
    <w:p>
      <w:pPr>
        <w:pStyle w:val="19"/>
      </w:pPr>
      <w:r>
        <w:rPr>
          <w:rFonts w:hint="eastAsia"/>
        </w:rPr>
        <w:t>（一）机构设置及职责工作任务情况</w:t>
      </w:r>
    </w:p>
    <w:p>
      <w:pPr>
        <w:pStyle w:val="20"/>
      </w:pPr>
      <w:r>
        <w:rPr>
          <w:rFonts w:hint="eastAsia"/>
        </w:rPr>
        <w:t>1</w:t>
      </w:r>
      <w:r>
        <w:t>.</w:t>
      </w:r>
      <w:r>
        <w:rPr>
          <w:rFonts w:hint="eastAsia"/>
        </w:rPr>
        <w:t>部门职责</w:t>
      </w:r>
    </w:p>
    <w:p>
      <w:pPr>
        <w:pStyle w:val="21"/>
      </w:pPr>
      <w:r>
        <w:rPr>
          <w:rFonts w:hint="eastAsia"/>
        </w:rPr>
        <w:t>北京市司法局（以下简称“市司法局”或“我局”）是负责本市司法行政工作的市政府组成部门，为正局级单位。根据《北京市司法局职能配置、内设机构和人员编制规定》（京办字〔2019〕51号），市司法局的主要职责包括：</w:t>
      </w:r>
    </w:p>
    <w:p>
      <w:pPr>
        <w:pStyle w:val="21"/>
      </w:pPr>
      <w:r>
        <w:rPr>
          <w:rFonts w:hint="eastAsia"/>
        </w:rPr>
        <w:t>（1）承担全面依法治市重大问题的政策研究，协调有关方面提出全面依法治市中长期规划建议，负责有关重大决策部署督察工作。</w:t>
      </w:r>
    </w:p>
    <w:p>
      <w:pPr>
        <w:pStyle w:val="21"/>
      </w:pPr>
      <w:r>
        <w:rPr>
          <w:rFonts w:hint="eastAsia"/>
        </w:rPr>
        <w:t>（2）承担统筹规划本市立法工作的责任。协调有关方面提出立法规划和年度立法工作计划的建议，负责跟踪了解各部门对立法工作计划的落实情况，加强组织协调和督促指导，研究提出立法与改革决策相衔接的意见、措施。负责面向社会征集政府规章制定项目建议。</w:t>
      </w:r>
    </w:p>
    <w:p>
      <w:pPr>
        <w:pStyle w:val="21"/>
      </w:pPr>
      <w:r>
        <w:rPr>
          <w:rFonts w:hint="eastAsia"/>
        </w:rPr>
        <w:t>（3）负责起草或者组织起草本市有关地方性法规、政府规章草案。承办各部门报送市政府的地方性法规、政府规章草案的审查工作。负责立法协调。承办市政府规章的解释、立法后评估工作。负责协调各区各部门实施地方性法规、政府规章中的有关争议和问题。承办政府规章清理、编纂工作，组织翻译、审定政府规章的外文正式译本。</w:t>
      </w:r>
    </w:p>
    <w:p>
      <w:pPr>
        <w:pStyle w:val="21"/>
      </w:pPr>
      <w:r>
        <w:rPr>
          <w:rFonts w:hint="eastAsia"/>
        </w:rPr>
        <w:t>（4）承办以市政府或者市政府办公厅名义制发的规范性文件、报请市政府会议审议和市政府审批的涉及法律问题的有关文件或者事项的合法性审核工作。承担区政府和市政府工作部门制定的规范性文件的备案审查工作。</w:t>
      </w:r>
    </w:p>
    <w:p>
      <w:pPr>
        <w:pStyle w:val="21"/>
      </w:pPr>
      <w:r>
        <w:rPr>
          <w:rFonts w:hint="eastAsia"/>
        </w:rPr>
        <w:t>（5）承担统筹推进本市法治政府建设的责任。指导、监督市政府各部门和区、乡镇政府依法行政工作。负责综合协调行政执法，承担推进行政执法体制改革有关工作，推进严格规范公正文明执法。指导、监督全市行政复议和行政应诉工作，负责行政复议、行政赔偿案件办理工作。承办市政府行政诉讼的应诉代理工作。承办由国务院裁决的市政府行政复议案件的有关工作。</w:t>
      </w:r>
    </w:p>
    <w:p>
      <w:pPr>
        <w:pStyle w:val="21"/>
      </w:pPr>
      <w:r>
        <w:rPr>
          <w:rFonts w:hint="eastAsia"/>
        </w:rPr>
        <w:t>（6）承担统筹规划本市法治社会建设的责任。负责拟订法治宣传教育规划，组织实施普法宣传工作。推动人民参与和促进法治建设。指导依法治理和法治创建工作。指导调解工作和人民陪审员、人民监督员选任管理工作,推进司法所建设。</w:t>
      </w:r>
    </w:p>
    <w:p>
      <w:pPr>
        <w:pStyle w:val="21"/>
      </w:pPr>
      <w:r>
        <w:rPr>
          <w:rFonts w:hint="eastAsia"/>
        </w:rPr>
        <w:t>（7）指导、监督本市社区矫正工作和刑满释放人员安置帮教工作。</w:t>
      </w:r>
    </w:p>
    <w:p>
      <w:pPr>
        <w:pStyle w:val="21"/>
      </w:pPr>
      <w:r>
        <w:rPr>
          <w:rFonts w:hint="eastAsia"/>
        </w:rPr>
        <w:t>（8）负责拟订本市公共法律服务体系建设规划并组织实施，统筹和布局城乡、区域法律服务资源。指导、监督律师、法律援助、司法鉴定、公证、仲裁和基层法律服务管理工作。</w:t>
      </w:r>
    </w:p>
    <w:p>
      <w:pPr>
        <w:pStyle w:val="21"/>
      </w:pPr>
      <w:r>
        <w:rPr>
          <w:rFonts w:hint="eastAsia"/>
        </w:rPr>
        <w:t>（9）负责组织本市国家统一法律职业资格考试的考务等工作。</w:t>
      </w:r>
    </w:p>
    <w:p>
      <w:pPr>
        <w:pStyle w:val="21"/>
      </w:pPr>
      <w:r>
        <w:rPr>
          <w:rFonts w:hint="eastAsia"/>
        </w:rPr>
        <w:t>（10）负责指导本系统枪支、弹药、服装、警车等管理工作。</w:t>
      </w:r>
    </w:p>
    <w:p>
      <w:pPr>
        <w:pStyle w:val="21"/>
      </w:pPr>
      <w:r>
        <w:rPr>
          <w:rFonts w:hint="eastAsia"/>
        </w:rPr>
        <w:t>（11）规划、协调、指导本市法治人才队伍建设相关工作，指导、监督本系统队伍建设。负责本系统警务管理工作。</w:t>
      </w:r>
    </w:p>
    <w:p>
      <w:pPr>
        <w:pStyle w:val="21"/>
      </w:pPr>
      <w:r>
        <w:rPr>
          <w:rFonts w:hint="eastAsia"/>
        </w:rPr>
        <w:t>（12）管理北京市监狱管理局（北京市戒毒管理局）。</w:t>
      </w:r>
    </w:p>
    <w:p>
      <w:pPr>
        <w:pStyle w:val="21"/>
      </w:pPr>
      <w:r>
        <w:rPr>
          <w:rFonts w:hint="eastAsia"/>
        </w:rPr>
        <w:t>（13）完成市委、市政府交办的其他任务。</w:t>
      </w:r>
    </w:p>
    <w:p>
      <w:pPr>
        <w:pStyle w:val="20"/>
      </w:pPr>
      <w:r>
        <w:rPr>
          <w:rFonts w:hint="eastAsia"/>
        </w:rPr>
        <w:t>2</w:t>
      </w:r>
      <w:r>
        <w:t>.</w:t>
      </w:r>
      <w:r>
        <w:rPr>
          <w:rFonts w:hint="eastAsia"/>
        </w:rPr>
        <w:t>机构设置</w:t>
      </w:r>
    </w:p>
    <w:p>
      <w:pPr>
        <w:pStyle w:val="21"/>
      </w:pPr>
      <w:r>
        <w:rPr>
          <w:rFonts w:hint="eastAsia"/>
        </w:rPr>
        <w:t>市司法局设有3</w:t>
      </w:r>
      <w:r>
        <w:t>2</w:t>
      </w:r>
      <w:r>
        <w:rPr>
          <w:rFonts w:hint="eastAsia"/>
        </w:rPr>
        <w:t>个内设机构，分别为：市委全面依法治市办秘书处；办公室；法治调研处；法治督察处；立法一处；立法二处；立法三处立法四处；规范性文件审查处；行政复议立案处（北京市人民政府行政复议接待室）；行政复议应诉综合处；行政复议一处；行政复议二处；行政应诉处；行政执法协调监督处；社区矫正管理处；监狱戒毒工作处；普法与依法治理处；人民参与和促进法治处；调解工作处；行政审批处；公共法律服务管理处；律师工作处；公证工作处；法律职业资格管理处；信息技术处；装备财务保障处；人事警务处；机关党委；机关纪委；工会；离退休干部处。下属5个二级预算单位，详见表1。</w:t>
      </w:r>
    </w:p>
    <w:p>
      <w:pPr>
        <w:adjustRightInd w:val="0"/>
        <w:snapToGrid w:val="0"/>
        <w:spacing w:line="560" w:lineRule="exact"/>
        <w:jc w:val="center"/>
        <w:rPr>
          <w:rFonts w:ascii="黑体" w:hAnsi="黑体" w:eastAsia="黑体"/>
          <w:sz w:val="28"/>
          <w:szCs w:val="28"/>
        </w:rPr>
      </w:pPr>
      <w:r>
        <w:rPr>
          <w:rFonts w:hint="eastAsia" w:ascii="黑体" w:hAnsi="黑体" w:eastAsia="黑体" w:cs="黑体"/>
          <w:sz w:val="28"/>
          <w:szCs w:val="28"/>
        </w:rPr>
        <w:t>表</w:t>
      </w:r>
      <w:r>
        <w:rPr>
          <w:rFonts w:ascii="黑体" w:hAnsi="黑体" w:eastAsia="黑体" w:cs="黑体"/>
          <w:sz w:val="28"/>
          <w:szCs w:val="28"/>
        </w:rPr>
        <w:t>1</w:t>
      </w:r>
      <w:r>
        <w:rPr>
          <w:rFonts w:hint="eastAsia" w:ascii="黑体" w:hAnsi="黑体" w:eastAsia="黑体" w:cs="黑体"/>
          <w:sz w:val="28"/>
          <w:szCs w:val="28"/>
        </w:rPr>
        <w:t>：市司法局</w:t>
      </w:r>
      <w:r>
        <w:rPr>
          <w:rFonts w:hint="eastAsia" w:ascii="黑体" w:hAnsi="黑体" w:eastAsia="黑体" w:cs="黑体"/>
          <w:kern w:val="0"/>
          <w:sz w:val="28"/>
          <w:szCs w:val="28"/>
        </w:rPr>
        <w:t>下属二级预算单位情况表</w:t>
      </w:r>
    </w:p>
    <w:tbl>
      <w:tblPr>
        <w:tblStyle w:val="9"/>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538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988"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序号</w:t>
            </w:r>
          </w:p>
        </w:tc>
        <w:tc>
          <w:tcPr>
            <w:tcW w:w="5386"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单位名称</w:t>
            </w:r>
          </w:p>
        </w:tc>
        <w:tc>
          <w:tcPr>
            <w:tcW w:w="1843" w:type="dxa"/>
            <w:shd w:val="clear" w:color="auto" w:fill="auto"/>
            <w:vAlign w:val="center"/>
          </w:tcPr>
          <w:p>
            <w:pPr>
              <w:widowControl/>
              <w:adjustRightInd w:val="0"/>
              <w:snapToGrid w:val="0"/>
              <w:jc w:val="center"/>
              <w:rPr>
                <w:rFonts w:ascii="宋体"/>
                <w:b/>
                <w:bCs/>
                <w:kern w:val="0"/>
                <w:sz w:val="20"/>
                <w:szCs w:val="20"/>
              </w:rPr>
            </w:pPr>
            <w:r>
              <w:rPr>
                <w:rFonts w:hint="eastAsia" w:ascii="宋体" w:hAnsi="宋体" w:cs="宋体"/>
                <w:b/>
                <w:bCs/>
                <w:kern w:val="0"/>
                <w:sz w:val="20"/>
                <w:szCs w:val="20"/>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1</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北京市司法局本级</w:t>
            </w:r>
          </w:p>
        </w:tc>
        <w:tc>
          <w:tcPr>
            <w:tcW w:w="1843"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全额拨款行政单位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hint="eastAsia" w:ascii="宋体" w:hAnsi="宋体" w:cs="宋体"/>
                <w:kern w:val="0"/>
                <w:sz w:val="20"/>
                <w:szCs w:val="20"/>
              </w:rPr>
              <w:t>2</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北京市法律援助中心</w:t>
            </w:r>
          </w:p>
        </w:tc>
        <w:tc>
          <w:tcPr>
            <w:tcW w:w="1843" w:type="dxa"/>
            <w:vMerge w:val="restart"/>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全额拨款事业单位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hint="eastAsia" w:ascii="宋体" w:hAnsi="宋体" w:cs="宋体"/>
                <w:kern w:val="0"/>
                <w:sz w:val="20"/>
                <w:szCs w:val="20"/>
              </w:rPr>
              <w:t>3</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北京市司法局政府法治研究中心</w:t>
            </w:r>
          </w:p>
        </w:tc>
        <w:tc>
          <w:tcPr>
            <w:tcW w:w="1843" w:type="dxa"/>
            <w:vMerge w:val="continue"/>
            <w:vAlign w:val="center"/>
          </w:tcPr>
          <w:p>
            <w:pPr>
              <w:widowControl/>
              <w:adjustRightInd w:val="0"/>
              <w:snapToGrid w:val="0"/>
              <w:jc w:val="center"/>
              <w:rPr>
                <w:rFonts w:asci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hint="eastAsia" w:ascii="宋体" w:hAnsi="宋体" w:cs="宋体"/>
                <w:kern w:val="0"/>
                <w:sz w:val="20"/>
                <w:szCs w:val="20"/>
              </w:rPr>
              <w:t>4</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北京市法律职业资格考试中心</w:t>
            </w:r>
          </w:p>
        </w:tc>
        <w:tc>
          <w:tcPr>
            <w:tcW w:w="1843" w:type="dxa"/>
            <w:vMerge w:val="continue"/>
            <w:vAlign w:val="center"/>
          </w:tcPr>
          <w:p>
            <w:pPr>
              <w:widowControl/>
              <w:adjustRightInd w:val="0"/>
              <w:snapToGrid w:val="0"/>
              <w:jc w:val="center"/>
              <w:rPr>
                <w:rFonts w:asci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8" w:type="dxa"/>
            <w:vAlign w:val="center"/>
          </w:tcPr>
          <w:p>
            <w:pPr>
              <w:widowControl/>
              <w:adjustRightInd w:val="0"/>
              <w:snapToGrid w:val="0"/>
              <w:jc w:val="center"/>
              <w:rPr>
                <w:rFonts w:ascii="宋体"/>
                <w:kern w:val="0"/>
                <w:sz w:val="20"/>
                <w:szCs w:val="20"/>
              </w:rPr>
            </w:pPr>
            <w:r>
              <w:rPr>
                <w:rFonts w:hint="eastAsia" w:ascii="宋体" w:hAnsi="宋体" w:cs="宋体"/>
                <w:kern w:val="0"/>
                <w:sz w:val="20"/>
                <w:szCs w:val="20"/>
              </w:rPr>
              <w:t>5</w:t>
            </w:r>
          </w:p>
        </w:tc>
        <w:tc>
          <w:tcPr>
            <w:tcW w:w="5386" w:type="dxa"/>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北京市律师协会秘书处</w:t>
            </w:r>
          </w:p>
        </w:tc>
        <w:tc>
          <w:tcPr>
            <w:tcW w:w="1843" w:type="dxa"/>
            <w:vMerge w:val="continue"/>
            <w:vAlign w:val="center"/>
          </w:tcPr>
          <w:p>
            <w:pPr>
              <w:widowControl/>
              <w:adjustRightInd w:val="0"/>
              <w:snapToGrid w:val="0"/>
              <w:jc w:val="center"/>
              <w:rPr>
                <w:rFonts w:ascii="宋体"/>
                <w:kern w:val="0"/>
                <w:sz w:val="20"/>
                <w:szCs w:val="20"/>
              </w:rPr>
            </w:pPr>
          </w:p>
        </w:tc>
      </w:tr>
    </w:tbl>
    <w:p>
      <w:pPr>
        <w:pStyle w:val="20"/>
      </w:pPr>
      <w:r>
        <w:rPr>
          <w:rFonts w:hint="eastAsia"/>
        </w:rPr>
        <w:t>3</w:t>
      </w:r>
      <w:r>
        <w:t>.</w:t>
      </w:r>
      <w:r>
        <w:rPr>
          <w:rFonts w:hint="eastAsia"/>
        </w:rPr>
        <w:t>年度工作任务</w:t>
      </w:r>
    </w:p>
    <w:p>
      <w:pPr>
        <w:pStyle w:val="21"/>
      </w:pPr>
      <w:r>
        <w:rPr>
          <w:rFonts w:hint="eastAsia"/>
        </w:rPr>
        <w:t>2</w:t>
      </w:r>
      <w:r>
        <w:t>02</w:t>
      </w:r>
      <w:r>
        <w:rPr>
          <w:rFonts w:hint="eastAsia"/>
        </w:rPr>
        <w:t>3年，市司法局结合部门履职需要统筹确定7项33条重点工作任务。</w:t>
      </w:r>
      <w:r>
        <w:rPr>
          <w:rFonts w:hint="eastAsia"/>
          <w:b/>
          <w:bCs/>
        </w:rPr>
        <w:t>一是</w:t>
      </w:r>
      <w:r>
        <w:rPr>
          <w:rFonts w:hint="eastAsia"/>
        </w:rPr>
        <w:t>深入学习贯彻二十大精神、坚决树牢政治信仰、加强党的领导机制建设、强化组织功能建设、坚持全面从严治党等五个方面，着眼于坚持政治统领，全面加强司法行政系统党的领导。</w:t>
      </w:r>
      <w:r>
        <w:rPr>
          <w:rFonts w:hint="eastAsia"/>
          <w:b/>
          <w:bCs/>
        </w:rPr>
        <w:t>二是</w:t>
      </w:r>
      <w:r>
        <w:rPr>
          <w:rFonts w:hint="eastAsia"/>
        </w:rPr>
        <w:t>完善党委领导全面依法治市的制度机制、深入推进法治政府建设、全面加强依法治市督促检查等三个方面，着眼于坚持首善标准，推动全面依法治市工作实现新发展。</w:t>
      </w:r>
      <w:r>
        <w:rPr>
          <w:rFonts w:hint="eastAsia"/>
          <w:b/>
          <w:bCs/>
        </w:rPr>
        <w:t>三是</w:t>
      </w:r>
      <w:r>
        <w:rPr>
          <w:rFonts w:hint="eastAsia"/>
        </w:rPr>
        <w:t>积极构建司法行政领域安全格局、突出抓好安全稳定重点工作、全力维护监狱戒毒场所安全、有效化解社会安全稳定风险等四个方面，着眼于坚持系统观念，助力更高水平平安北京建设。</w:t>
      </w:r>
      <w:r>
        <w:rPr>
          <w:rFonts w:hint="eastAsia"/>
          <w:b/>
          <w:bCs/>
        </w:rPr>
        <w:t>四是</w:t>
      </w:r>
      <w:r>
        <w:rPr>
          <w:rFonts w:hint="eastAsia"/>
        </w:rPr>
        <w:t>推进重点领域立法工作、做好规范性文件审核工作、加强行政执法协调监督、推进严格公正文明执法、着力提升行政复议应诉质效等五个方面，着眼于坚持法治思维，全力保障新时代首都高质量发展。</w:t>
      </w:r>
      <w:r>
        <w:rPr>
          <w:rFonts w:hint="eastAsia"/>
          <w:b/>
          <w:bCs/>
        </w:rPr>
        <w:t>五是</w:t>
      </w:r>
      <w:r>
        <w:rPr>
          <w:rFonts w:hint="eastAsia"/>
        </w:rPr>
        <w:t>优化完善公共法律服务、深化法律援助工作、加强律师行业管理、提升公证服务质量、规范司法鉴定工作、推进普法与依法治理、发挥人民调解功能等七个方面，着眼于坚持人民至上，建设更高水平的现代公共法律服务体系。</w:t>
      </w:r>
      <w:r>
        <w:rPr>
          <w:rFonts w:hint="eastAsia"/>
          <w:b/>
          <w:bCs/>
        </w:rPr>
        <w:t>六是</w:t>
      </w:r>
      <w:r>
        <w:rPr>
          <w:rFonts w:hint="eastAsia"/>
        </w:rPr>
        <w:t>加强刑事司法监督制约体系建设、深化执法司法权力运行机制改革、加快推进仲裁制度改革、稳步做好监所布局调整、大力推进司法所规范化建设、加强网络安全和信息化建设等六个方面，着眼于坚持改革创新，奋力推进司法行政工作现代化。</w:t>
      </w:r>
      <w:r>
        <w:rPr>
          <w:rFonts w:hint="eastAsia"/>
          <w:b/>
          <w:bCs/>
        </w:rPr>
        <w:t>七是</w:t>
      </w:r>
      <w:r>
        <w:rPr>
          <w:rFonts w:hint="eastAsia"/>
        </w:rPr>
        <w:t>注重干部队伍建设顶层设计、牢固树立正确选人用人导向、加强司法行政人才队伍培养等三个方面，着眼于坚持人才导向，建设堪当重任的高素质司法行政铁军。</w:t>
      </w:r>
    </w:p>
    <w:p>
      <w:pPr>
        <w:pStyle w:val="19"/>
      </w:pPr>
      <w:r>
        <w:rPr>
          <w:rFonts w:hint="eastAsia"/>
        </w:rPr>
        <w:t>（二）部门整体绩效目标设立情况</w:t>
      </w:r>
    </w:p>
    <w:p>
      <w:pPr>
        <w:pStyle w:val="21"/>
      </w:pPr>
      <w:r>
        <w:rPr>
          <w:rFonts w:hint="eastAsia"/>
        </w:rPr>
        <w:t>2023年是全面贯彻落实党的二十大精神的开局之年，是向第二个百年奋斗目标进军的关键之年，是贯彻落实“十四五”规划承上启下的重要一年，也是推动首都司法行政事业实现高质量发展的提升之年。绩效目标设立上，我局从依法治市、行政立法、行政执法、刑事执行、公共法律服务、涉外法治建设等部门履职出发，设立了2</w:t>
      </w:r>
      <w:r>
        <w:t>02</w:t>
      </w:r>
      <w:r>
        <w:rPr>
          <w:rFonts w:hint="eastAsia"/>
        </w:rPr>
        <w:t>3年部门整体绩效目标。目标提出了坚持政治统领、坚持首善标准、坚持系统观念、坚持法治思维、坚持人民至上、坚持改革创新、坚持人才导向的工作着力点，明确了全面加强司法行政系统党的领导、推动全面依法治市工作实现新发展、助力更高水平平安北京建设、全力保障新时代首都高质量发展、建设更高水平的现代公共法律服务体系、奋力推进司法行政工作现代化、建设堪当重任的高素质司法行政铁军等预期工作效果。</w:t>
      </w:r>
    </w:p>
    <w:p>
      <w:pPr>
        <w:pStyle w:val="21"/>
      </w:pPr>
      <w:r>
        <w:rPr>
          <w:rFonts w:hint="eastAsia"/>
        </w:rPr>
        <w:t>绩效指标设立上，我局依据部门职能及年度重点工作任务，从法律职业资格考试、法制建设、公共法律服务、后勤保障、基层司法业务、师公证管理、普法宣传、社区矫正、司法综合事务、信息化建设1</w:t>
      </w:r>
      <w:r>
        <w:t>0</w:t>
      </w:r>
      <w:r>
        <w:rPr>
          <w:rFonts w:hint="eastAsia"/>
        </w:rPr>
        <w:t>个方面对绩效目标进行了分解与细化，设置了相应的产出指标、效益指标及满意度指标。</w:t>
      </w:r>
    </w:p>
    <w:p>
      <w:pPr>
        <w:pStyle w:val="21"/>
      </w:pPr>
      <w:r>
        <w:rPr>
          <w:rFonts w:hint="eastAsia"/>
        </w:rPr>
        <w:t>总体上，部门绩效目标内容较为全面、合理，分解后的绩效指标与我局部门职责、年度重点工作任务匹配性较好。</w:t>
      </w:r>
    </w:p>
    <w:p>
      <w:pPr>
        <w:pStyle w:val="18"/>
      </w:pPr>
      <w:r>
        <w:rPr>
          <w:rFonts w:hint="eastAsia"/>
        </w:rPr>
        <w:t>二</w:t>
      </w:r>
      <w:r>
        <w:t>、</w:t>
      </w:r>
      <w:r>
        <w:rPr>
          <w:rFonts w:hint="eastAsia"/>
        </w:rPr>
        <w:t>当年</w:t>
      </w:r>
      <w:r>
        <w:t>预算执行情况</w:t>
      </w:r>
    </w:p>
    <w:p>
      <w:pPr>
        <w:pStyle w:val="21"/>
      </w:pPr>
      <w:r>
        <w:rPr>
          <w:rFonts w:hint="eastAsia"/>
        </w:rPr>
        <w:t>2023年</w:t>
      </w:r>
      <w:r>
        <w:t>全年</w:t>
      </w:r>
      <w:r>
        <w:rPr>
          <w:rFonts w:hint="eastAsia"/>
        </w:rPr>
        <w:t>预算数</w:t>
      </w:r>
      <w:r>
        <w:t>22664</w:t>
      </w:r>
      <w:r>
        <w:rPr>
          <w:rFonts w:hint="eastAsia"/>
        </w:rPr>
        <w:t>.</w:t>
      </w:r>
      <w:r>
        <w:t>57</w:t>
      </w:r>
      <w:r>
        <w:rPr>
          <w:rFonts w:hint="eastAsia"/>
        </w:rPr>
        <w:t>万元</w:t>
      </w:r>
      <w:r>
        <w:t>，</w:t>
      </w:r>
      <w:r>
        <w:rPr>
          <w:rFonts w:hint="eastAsia"/>
        </w:rPr>
        <w:t>其中</w:t>
      </w:r>
      <w:r>
        <w:t>，基本</w:t>
      </w:r>
      <w:r>
        <w:rPr>
          <w:rFonts w:hint="eastAsia"/>
        </w:rPr>
        <w:t>支出</w:t>
      </w:r>
      <w:r>
        <w:t>预算数15824</w:t>
      </w:r>
      <w:r>
        <w:rPr>
          <w:rFonts w:hint="eastAsia"/>
        </w:rPr>
        <w:t>.</w:t>
      </w:r>
      <w:r>
        <w:t>45万元，</w:t>
      </w:r>
      <w:r>
        <w:rPr>
          <w:rFonts w:hint="eastAsia"/>
        </w:rPr>
        <w:t>项目支出预算数</w:t>
      </w:r>
      <w:r>
        <w:t>6840</w:t>
      </w:r>
      <w:r>
        <w:rPr>
          <w:rFonts w:hint="eastAsia"/>
        </w:rPr>
        <w:t>.</w:t>
      </w:r>
      <w:r>
        <w:t>1</w:t>
      </w:r>
      <w:r>
        <w:rPr>
          <w:rFonts w:hint="eastAsia"/>
        </w:rPr>
        <w:t>2</w:t>
      </w:r>
      <w:r>
        <w:t>万元</w:t>
      </w:r>
      <w:r>
        <w:rPr>
          <w:rFonts w:hint="eastAsia"/>
        </w:rPr>
        <w:t>。</w:t>
      </w:r>
      <w:r>
        <w:t>资金总体</w:t>
      </w:r>
      <w:r>
        <w:rPr>
          <w:rFonts w:hint="eastAsia"/>
        </w:rPr>
        <w:t>支出</w:t>
      </w:r>
      <w:r>
        <w:t>21027</w:t>
      </w:r>
      <w:r>
        <w:rPr>
          <w:rFonts w:hint="eastAsia"/>
        </w:rPr>
        <w:t>.</w:t>
      </w:r>
      <w:r>
        <w:t>85万元，其中，基本支出14868</w:t>
      </w:r>
      <w:r>
        <w:rPr>
          <w:rFonts w:hint="eastAsia"/>
        </w:rPr>
        <w:t>.</w:t>
      </w:r>
      <w:r>
        <w:t>4</w:t>
      </w:r>
      <w:r>
        <w:rPr>
          <w:rFonts w:hint="eastAsia"/>
        </w:rPr>
        <w:t>1</w:t>
      </w:r>
      <w:r>
        <w:t>万元，项目</w:t>
      </w:r>
      <w:r>
        <w:rPr>
          <w:rFonts w:hint="eastAsia"/>
        </w:rPr>
        <w:t>支出</w:t>
      </w:r>
      <w:r>
        <w:t>6159</w:t>
      </w:r>
      <w:r>
        <w:rPr>
          <w:rFonts w:hint="eastAsia"/>
        </w:rPr>
        <w:t>.</w:t>
      </w:r>
      <w:r>
        <w:t>4</w:t>
      </w:r>
      <w:r>
        <w:rPr>
          <w:rFonts w:hint="eastAsia"/>
        </w:rPr>
        <w:t>5</w:t>
      </w:r>
      <w:r>
        <w:t>万元</w:t>
      </w:r>
      <w:r>
        <w:rPr>
          <w:rStyle w:val="13"/>
        </w:rPr>
        <w:footnoteReference w:id="0"/>
      </w:r>
      <w:r>
        <w:t>。</w:t>
      </w:r>
      <w:r>
        <w:rPr>
          <w:rFonts w:hint="eastAsia"/>
        </w:rPr>
        <w:t>预算</w:t>
      </w:r>
      <w:r>
        <w:t>执行率为92.</w:t>
      </w:r>
      <w:r>
        <w:rPr>
          <w:rFonts w:hint="eastAsia"/>
        </w:rPr>
        <w:t>78%。</w:t>
      </w:r>
    </w:p>
    <w:p>
      <w:pPr>
        <w:pStyle w:val="18"/>
      </w:pPr>
      <w:r>
        <w:rPr>
          <w:rFonts w:hint="eastAsia"/>
        </w:rPr>
        <w:t>三</w:t>
      </w:r>
      <w:r>
        <w:t>、整体绩效目标实现情况</w:t>
      </w:r>
    </w:p>
    <w:p>
      <w:pPr>
        <w:pStyle w:val="19"/>
      </w:pPr>
      <w:r>
        <w:rPr>
          <w:rFonts w:hint="eastAsia"/>
        </w:rPr>
        <w:t>（一）产出完成情况分析</w:t>
      </w:r>
    </w:p>
    <w:p>
      <w:pPr>
        <w:pStyle w:val="20"/>
      </w:pPr>
      <w:r>
        <w:rPr>
          <w:rFonts w:hint="eastAsia"/>
        </w:rPr>
        <w:t>1.产出数量</w:t>
      </w:r>
    </w:p>
    <w:p>
      <w:pPr>
        <w:pStyle w:val="21"/>
      </w:pPr>
      <w:r>
        <w:rPr>
          <w:rFonts w:hint="eastAsia"/>
        </w:rPr>
        <w:t>2</w:t>
      </w:r>
      <w:r>
        <w:t>02</w:t>
      </w:r>
      <w:r>
        <w:rPr>
          <w:rFonts w:hint="eastAsia"/>
        </w:rPr>
        <w:t>3年，我局坚持以习近平新时代中国特色社会主义思想为指导，全面贯彻落实党的二十大精神，深入学习贯彻习近平法治思想，紧紧围绕“工作质量提升年”这一目标，有效履行各项职能，顺利完成法制建设、法律职业资格考试、公共法律服务、基层司法业务、律师公证管理、普法宣传、社区矫正、司法综合事务、信息化建设、后勤保障等年度工作任务目标，扎实推进新时代司法行政工作现代化，为首都高质量发展提供坚强有力法治保障。</w:t>
      </w:r>
    </w:p>
    <w:p>
      <w:pPr>
        <w:pStyle w:val="21"/>
      </w:pPr>
      <w:r>
        <w:rPr>
          <w:rFonts w:hint="eastAsia"/>
        </w:rPr>
        <w:t>（1）主题教育活动成果丰硕</w:t>
      </w:r>
    </w:p>
    <w:p>
      <w:pPr>
        <w:pStyle w:val="21"/>
        <w:ind w:firstLine="643"/>
      </w:pPr>
      <w:r>
        <w:rPr>
          <w:rFonts w:hint="eastAsia"/>
          <w:b/>
          <w:bCs/>
        </w:rPr>
        <w:t>一是统筹谋划到位。</w:t>
      </w:r>
      <w:r>
        <w:rPr>
          <w:rFonts w:hint="eastAsia"/>
        </w:rPr>
        <w:t>中央部署开展主题教育后，以党委会“第一议题”形式迅速传达学习习近平总书记在主题教育工作会议上的重要讲话精神。召开两位全系统主题教育动员部署大会，并组织各党支部迅速进行再动员再部署，覆盖率100%。</w:t>
      </w:r>
      <w:r>
        <w:rPr>
          <w:rFonts w:hint="eastAsia"/>
          <w:b/>
          <w:bCs/>
        </w:rPr>
        <w:t>二是理论学习到位。</w:t>
      </w:r>
      <w:r>
        <w:rPr>
          <w:rFonts w:hint="eastAsia"/>
        </w:rPr>
        <w:t>各党支部多种形式深入开展主题教育学习。</w:t>
      </w:r>
      <w:r>
        <w:rPr>
          <w:rFonts w:hint="eastAsia"/>
          <w:b/>
          <w:bCs/>
        </w:rPr>
        <w:t>三是调查研究到位。</w:t>
      </w:r>
      <w:r>
        <w:rPr>
          <w:rFonts w:hint="eastAsia"/>
        </w:rPr>
        <w:t>领导班子成员围绕“法治政府建设”“规范行政裁量权基准”“法治文化体系构建”“行政复议规范化”“公共法律服务体系建设”等方面开展领题调研。针对司法行政领域突出难题，确定33项领导干部专项调研课题。</w:t>
      </w:r>
      <w:r>
        <w:rPr>
          <w:rFonts w:hint="eastAsia"/>
          <w:b/>
          <w:bCs/>
        </w:rPr>
        <w:t>四是问题整改到位。</w:t>
      </w:r>
      <w:r>
        <w:rPr>
          <w:rFonts w:hint="eastAsia"/>
        </w:rPr>
        <w:t>系统梳理了近年来信访反映的问题，上级指出的顽瘴痼疾整顿重点，以及巡视巡察和审计监督发现的问题，全市警示教育大会指出的问题等，逐项制定针对性整改措施，实现了动态管理。</w:t>
      </w:r>
      <w:r>
        <w:rPr>
          <w:rFonts w:hint="eastAsia"/>
          <w:b/>
          <w:bCs/>
        </w:rPr>
        <w:t>五是成效转化到位。</w:t>
      </w:r>
      <w:r>
        <w:rPr>
          <w:rFonts w:hint="eastAsia"/>
        </w:rPr>
        <w:t>组织了第二届“北京榜样·最美法律服务人”主题活动，组织20位“最美法律服务人”分10批65人次深入机关、校园、军营等开展事迹宣讲、法律讲座、现场咨询等工作。</w:t>
      </w:r>
    </w:p>
    <w:p>
      <w:pPr>
        <w:pStyle w:val="21"/>
      </w:pPr>
      <w:r>
        <w:rPr>
          <w:rFonts w:hint="eastAsia"/>
        </w:rPr>
        <w:t>（2）全面依法治市工作纵深推进</w:t>
      </w:r>
    </w:p>
    <w:p>
      <w:pPr>
        <w:pStyle w:val="21"/>
        <w:ind w:firstLine="643"/>
      </w:pPr>
      <w:r>
        <w:rPr>
          <w:rFonts w:hint="eastAsia"/>
          <w:b/>
          <w:bCs/>
        </w:rPr>
        <w:t>一是充分发挥了市委依法治市办职能。</w:t>
      </w:r>
      <w:r>
        <w:rPr>
          <w:rFonts w:hint="eastAsia"/>
        </w:rPr>
        <w:t>开展了2022年度述法工作，全市16区、33个市委市政府工作部门、340个街乡镇党政主要负责人完成年度述法。完成了16区党政主要负责人履行推进法治建设第一责任人职责情况第三方评估工作。开展了第二期法治人才联合培养工作，推荐来自7所高校及科研院所的15名联合培养对象,到9家市级单位参加实践锻炼。推进了2023年度“十大法治事件”“十大法治人物”评选工作。组织开展了市县法治建设典型案例评选、信访工作法治化典型案例征集评选工作。</w:t>
      </w:r>
      <w:r>
        <w:rPr>
          <w:rFonts w:hint="eastAsia"/>
          <w:b/>
          <w:bCs/>
        </w:rPr>
        <w:t>二是深入推进法治政府建设。</w:t>
      </w:r>
      <w:r>
        <w:rPr>
          <w:rFonts w:hint="eastAsia"/>
        </w:rPr>
        <w:t>组织了6个示范区和10个争创区开展“结对子”活动，推进法治建设“共同富裕”进程。顺利完成第三批全国法治政府建设示范创建初步评审。</w:t>
      </w:r>
      <w:r>
        <w:rPr>
          <w:rFonts w:hint="eastAsia"/>
          <w:b/>
          <w:bCs/>
        </w:rPr>
        <w:t>三是加强了全市法治督察工作。</w:t>
      </w:r>
      <w:r>
        <w:rPr>
          <w:rFonts w:hint="eastAsia"/>
        </w:rPr>
        <w:t>组织实施了2023年度法治政府建设责任落实督察，选了取4个区和2个市级部门开展实地督察。依据中央依法治国办有关工作部署，组织开展老人法治建设有关规划的中期评估核查工作。对各区、各市级部门2022年度法治政府建设工作报告报送及公开工作进行了督促落实，共涉及法治政府建设情况报告64份。</w:t>
      </w:r>
    </w:p>
    <w:p>
      <w:pPr>
        <w:pStyle w:val="21"/>
      </w:pPr>
      <w:r>
        <w:rPr>
          <w:rFonts w:hint="eastAsia"/>
        </w:rPr>
        <w:t>（3）服务中心大局能力全面提升</w:t>
      </w:r>
    </w:p>
    <w:p>
      <w:pPr>
        <w:pStyle w:val="21"/>
        <w:ind w:firstLine="643"/>
      </w:pPr>
      <w:r>
        <w:rPr>
          <w:rFonts w:hint="eastAsia"/>
          <w:b/>
          <w:bCs/>
        </w:rPr>
        <w:t>一是履行法治服务保障职能。</w:t>
      </w:r>
      <w:r>
        <w:rPr>
          <w:rFonts w:hint="eastAsia"/>
        </w:rPr>
        <w:t>开展了本系统“十四五”优化营商环境规划实施情况中期评估工作。会同市场监管局等单位推动了“6+4”一体化综合监管改革落地见效。</w:t>
      </w:r>
      <w:r>
        <w:rPr>
          <w:rFonts w:hint="eastAsia"/>
          <w:b/>
          <w:bCs/>
        </w:rPr>
        <w:t>二是推进地方立法工作。</w:t>
      </w:r>
      <w:r>
        <w:rPr>
          <w:rFonts w:hint="eastAsia"/>
        </w:rPr>
        <w:t>完成了4项规章废止的法律审查工作。正在推进6项立法项目。</w:t>
      </w:r>
      <w:r>
        <w:rPr>
          <w:rFonts w:hint="eastAsia"/>
          <w:b/>
          <w:bCs/>
        </w:rPr>
        <w:t>三是抓好规范性文件审核与备案。</w:t>
      </w:r>
      <w:r>
        <w:rPr>
          <w:rFonts w:hint="eastAsia"/>
        </w:rPr>
        <w:t>对232件市政府规范性文件、重大决策和协议进行合法性审核，出具250条审核意见。“4.18”火灾事故后，为市政府紧急出台一系列重要文件，提供及时高效优质的法律审查服务。持续推进全市行政规范性文件库建设，初步建成涵盖市区街（乡镇）三级规范性文件的数据库，归集现行有效文件7700件、失效文件2057件。开展规范性文件备案审查，对290件报送备案的文件进行登记审查。</w:t>
      </w:r>
      <w:r>
        <w:rPr>
          <w:rFonts w:hint="eastAsia"/>
          <w:b/>
          <w:bCs/>
        </w:rPr>
        <w:t>四是推进严格规范公正文明执法。</w:t>
      </w:r>
      <w:r>
        <w:rPr>
          <w:rFonts w:hint="eastAsia"/>
        </w:rPr>
        <w:t>开展了市政府向街乡下放行政执法职权实施情况评估工作，举办了法制审核和行政裁决人员职前培训、行政执法人员职业技能竞赛，持续加强行政执法队伍建设。</w:t>
      </w:r>
      <w:r>
        <w:rPr>
          <w:rFonts w:hint="eastAsia"/>
          <w:b/>
          <w:bCs/>
        </w:rPr>
        <w:t>五是提升行政复议应诉质效。</w:t>
      </w:r>
      <w:r>
        <w:rPr>
          <w:rFonts w:hint="eastAsia"/>
        </w:rPr>
        <w:t>首次发布《北京市2022年行政复议和行政应诉工作白皮书》以及行政复议解决群众“急难愁盼”问题“十大典型案例”。“北京市行政复议与行政应诉工作平台”进入试运行阶段。开展了行政复议大练兵、岗位技能大比武活动，通过案卷评查、文书制作、个人展示、情景模拟、案例分析等多个环节进行初赛，网络直播形式开展决赛，决出办案标兵6名、办案能手6名。</w:t>
      </w:r>
    </w:p>
    <w:p>
      <w:pPr>
        <w:pStyle w:val="21"/>
      </w:pPr>
      <w:r>
        <w:rPr>
          <w:rFonts w:hint="eastAsia"/>
        </w:rPr>
        <w:t>（4）维护首都安全稳定成效显著</w:t>
      </w:r>
    </w:p>
    <w:p>
      <w:pPr>
        <w:pStyle w:val="21"/>
        <w:ind w:firstLine="643"/>
      </w:pPr>
      <w:r>
        <w:rPr>
          <w:rFonts w:hint="eastAsia"/>
          <w:b/>
          <w:bCs/>
        </w:rPr>
        <w:t>一是强化安全维稳责任落实。</w:t>
      </w:r>
      <w:r>
        <w:rPr>
          <w:rFonts w:hint="eastAsia"/>
        </w:rPr>
        <w:t>召开各类维稳安保动员部署会10余次，深入开展安全生产风险专项整治、安全隐患大排查、应急处突大演练，全面筑牢安全责任意识和安全防线。</w:t>
      </w:r>
      <w:r>
        <w:rPr>
          <w:rFonts w:hint="eastAsia"/>
          <w:b/>
          <w:bCs/>
        </w:rPr>
        <w:t>二是抓好监狱戒毒场所安全。</w:t>
      </w:r>
      <w:r>
        <w:rPr>
          <w:rFonts w:hint="eastAsia"/>
        </w:rPr>
        <w:t>深化与武警部队“三共八联”、与公安机关反恐维稳协作机制，强化应急预案体系建设，开展应急预案演练2863次。开展安全隐患“大排查、大清理、大整治”专项行动，建立“两清单一台账”，形成周报机制，排查隐患问题1067个，已完成整改1039个，及时消除安全隐患。强化改造戒治针对性实效性，开展书香监区建设，恢复罪犯高等教育自学考试，启动新一轮“黄丝带”帮教行动，开展“礼赞伟大新时代、奔向改造新征程”年度主题教育活动，开展“四进三服务”禁毒戒毒宣讲370次、受众9万余人次。</w:t>
      </w:r>
      <w:r>
        <w:rPr>
          <w:rFonts w:hint="eastAsia"/>
          <w:b/>
          <w:bCs/>
        </w:rPr>
        <w:t>三是严格社区矫正对象管理。</w:t>
      </w:r>
      <w:r>
        <w:rPr>
          <w:rFonts w:hint="eastAsia"/>
        </w:rPr>
        <w:t>积极开展两会</w:t>
      </w:r>
      <w:bookmarkStart w:id="3" w:name="_GoBack"/>
      <w:bookmarkEnd w:id="3"/>
      <w:r>
        <w:rPr>
          <w:rFonts w:hint="eastAsia"/>
        </w:rPr>
        <w:t>社区矫正专项督查，发现问题81个并全部落实整改，制发督查通知单36份。</w:t>
      </w:r>
      <w:r>
        <w:rPr>
          <w:rFonts w:hint="eastAsia"/>
          <w:b/>
          <w:bCs/>
        </w:rPr>
        <w:t>四是细致做好安置帮教工作。</w:t>
      </w:r>
      <w:r>
        <w:rPr>
          <w:rFonts w:hint="eastAsia"/>
        </w:rPr>
        <w:t>开展了在册帮教对象拉网式排查，对2万余名帮教对象开展走访谈话教育。</w:t>
      </w:r>
      <w:r>
        <w:rPr>
          <w:rFonts w:hint="eastAsia"/>
          <w:b/>
          <w:bCs/>
        </w:rPr>
        <w:t>五是坚持和发展新时代“枫桥经验”。</w:t>
      </w:r>
      <w:r>
        <w:rPr>
          <w:rFonts w:hint="eastAsia"/>
        </w:rPr>
        <w:t>全市人民调解组织累计排查纠纷224207次，预防纠纷2080余件，调解案件137019件，同比增长28.2%。会同市知识产权局推动成立中国中小企业协会等2家知识产权纠纷人民调解委员会。加强行政调解工作，推进《北京市行政调解办法》立法后评估，各级机关受理行政调解案件42.72万件，调解成功率28%。市公服中心调解窗口前三季度累计接待现场38次，电话、线上咨询93次，服务时长1560分钟，转办当事人预约纠纷调解43件；“12338”妇女服务热线心理调解、分流、服务各类纠纷32件；联合市律协组织74名律师参与“矛盾共解、机制共建、平台共享 新时代人民调解与律师调解融合项目”，共受理咨询1181人次。</w:t>
      </w:r>
    </w:p>
    <w:p>
      <w:pPr>
        <w:pStyle w:val="21"/>
      </w:pPr>
      <w:r>
        <w:rPr>
          <w:rFonts w:hint="eastAsia"/>
        </w:rPr>
        <w:t>（5）公共法律服务体系建设亮点纷呈</w:t>
      </w:r>
    </w:p>
    <w:p>
      <w:pPr>
        <w:pStyle w:val="21"/>
        <w:ind w:firstLine="643"/>
      </w:pPr>
      <w:r>
        <w:rPr>
          <w:rFonts w:hint="eastAsia"/>
          <w:b/>
          <w:bCs/>
        </w:rPr>
        <w:t>一是加强了公共法律服务供给。</w:t>
      </w:r>
      <w:r>
        <w:rPr>
          <w:rFonts w:hint="eastAsia"/>
        </w:rPr>
        <w:t>完成了行政许可、备案、服务等审批事项16215件。全市2504名律师被聘为村（居）法律顾问，实现全市100%全覆盖。</w:t>
      </w:r>
      <w:r>
        <w:rPr>
          <w:rFonts w:hint="eastAsia"/>
          <w:b/>
          <w:bCs/>
        </w:rPr>
        <w:t>二是深化法律援助工作。</w:t>
      </w:r>
      <w:r>
        <w:rPr>
          <w:rFonts w:hint="eastAsia"/>
        </w:rPr>
        <w:t>全市法律援助机构批准受理法律援助案件27344件，农民工案件18046件，法律帮助案件17865件。</w:t>
      </w:r>
      <w:r>
        <w:rPr>
          <w:rFonts w:hint="eastAsia"/>
          <w:b/>
          <w:bCs/>
        </w:rPr>
        <w:t>三是规范司法鉴定工作。</w:t>
      </w:r>
      <w:r>
        <w:rPr>
          <w:rFonts w:hint="eastAsia"/>
        </w:rPr>
        <w:t>组织了全市90家司法鉴定机构开展诚信等级评估工作，完成自查自评、初评和复查及综合评估。开展“双随机、一公开”执法检查130件次，约谈机构相关负责人16人次，对2家鉴定机构3名司法鉴定人予以行政处罚，并对被处罚的机构负责人进行约谈。</w:t>
      </w:r>
      <w:r>
        <w:rPr>
          <w:rFonts w:hint="eastAsia"/>
          <w:b/>
          <w:bCs/>
        </w:rPr>
        <w:t>四是推动律师行业发展。</w:t>
      </w:r>
      <w:r>
        <w:rPr>
          <w:rFonts w:hint="eastAsia"/>
        </w:rPr>
        <w:t>全年约谈律师事务所负责人、党组织负责人和相关律师130余人次，现场检查律所20余家。实施了“北京市百名高端涉外法治人才培养”项目并开展首期培训，首期招募选拔33名学员，完成校内集中培训和大湾区访学。</w:t>
      </w:r>
      <w:r>
        <w:rPr>
          <w:rFonts w:hint="eastAsia"/>
          <w:b/>
          <w:bCs/>
        </w:rPr>
        <w:t>五是提升公证服务质量。</w:t>
      </w:r>
      <w:r>
        <w:rPr>
          <w:rFonts w:hint="eastAsia"/>
        </w:rPr>
        <w:t>印发了《关于进一步加强新时代北京公证工作的意见》，推动公证行业高质量发。</w:t>
      </w:r>
      <w:r>
        <w:rPr>
          <w:rFonts w:hint="eastAsia"/>
          <w:b/>
          <w:bCs/>
        </w:rPr>
        <w:t>六是推进普法依法治理。</w:t>
      </w:r>
      <w:r>
        <w:rPr>
          <w:rFonts w:hint="eastAsia"/>
        </w:rPr>
        <w:t>召开了市守法普法协调小组第七次会议。启动了全市法治文艺大赛，共有16个区、44个市属委办局报送了117部作品，经历初评和四场复赛，确定12部作品入围决赛。大赛自4月启动以来，已累计创作法治类文艺节目1300余部，举办基层巡演活动2300余场，参与观众超100万人次。开展国家安全主题普法活动3000余场，参与人群660余万人次。联合北京地铁公司举办为期1个月的“北京地铁民法典法治文化节”系列宣传活动，利用全市17条地铁线路的170块通道LED广告屏等播放民法典宣传片和挂图，日均覆盖乘客超200万人次。创新举办“送法下乡”暨“法律进工地”主题宣传活动以及“普法宣传挂图进基层”制作8期普法宣传挂图6.8万套，发放至全市7000多个社区、村。制作了三批20万张普法宣传折页。七是做好法律职业资格考试工作。圆满完成了2022年及2023年法律职业资格考试工作。</w:t>
      </w:r>
    </w:p>
    <w:p>
      <w:pPr>
        <w:pStyle w:val="21"/>
      </w:pPr>
      <w:r>
        <w:rPr>
          <w:rFonts w:hint="eastAsia"/>
        </w:rPr>
        <w:t>（6）司法行政领域改革持续深化</w:t>
      </w:r>
    </w:p>
    <w:p>
      <w:pPr>
        <w:pStyle w:val="21"/>
        <w:ind w:firstLine="643"/>
      </w:pPr>
      <w:r>
        <w:rPr>
          <w:rFonts w:hint="eastAsia"/>
          <w:b/>
          <w:bCs/>
        </w:rPr>
        <w:t>一是加强改革工作统筹谋划。</w:t>
      </w:r>
      <w:r>
        <w:rPr>
          <w:rFonts w:hint="eastAsia"/>
        </w:rPr>
        <w:t>组织召开了市局全面深化改革领导小组会议，制定年度改革工作要点，明确18项改革任务，深入推进司法行政系统改革。</w:t>
      </w:r>
      <w:r>
        <w:rPr>
          <w:rFonts w:hint="eastAsia"/>
          <w:b/>
          <w:bCs/>
        </w:rPr>
        <w:t>二是推进执法制约监督机制和责任体系建设。</w:t>
      </w:r>
      <w:r>
        <w:rPr>
          <w:rFonts w:hint="eastAsia"/>
        </w:rPr>
        <w:t>推进监狱戒毒工作执法规范化建设，全面实施执法全过程记录，印发《执法事项清单和记录工作规则》，实现执法事项清单化管理、执法标准规范统一。</w:t>
      </w:r>
      <w:r>
        <w:rPr>
          <w:rFonts w:hint="eastAsia"/>
          <w:b/>
          <w:bCs/>
        </w:rPr>
        <w:t>三是深化仲裁体制机制改革。</w:t>
      </w:r>
      <w:r>
        <w:rPr>
          <w:rFonts w:hint="eastAsia"/>
        </w:rPr>
        <w:t>召开了第八届北京仲裁委员会聘任仪式，换届工作圆满完成。</w:t>
      </w:r>
      <w:r>
        <w:rPr>
          <w:rFonts w:hint="eastAsia"/>
          <w:b/>
          <w:bCs/>
        </w:rPr>
        <w:t>四是持续推进监所布局调整。五是加强司法所规范化建设。</w:t>
      </w:r>
      <w:r>
        <w:rPr>
          <w:rFonts w:hint="eastAsia"/>
        </w:rPr>
        <w:t>赴各区司法局和30余家街道（乡镇）和司法所，通过座谈交流、检查业务台帐等形式实地督导，协调区司法局、各街道（乡镇）形成工作合力，全面推动司法所高质量发展。重点督办制约司法所发展的政法编制使用不充分等问题，目前人员在岗率已从60%提高到75%。</w:t>
      </w:r>
      <w:r>
        <w:rPr>
          <w:rFonts w:hint="eastAsia"/>
          <w:b/>
          <w:bCs/>
        </w:rPr>
        <w:t>六是推进“智慧法治”建设。</w:t>
      </w:r>
      <w:r>
        <w:rPr>
          <w:rFonts w:hint="eastAsia"/>
        </w:rPr>
        <w:t>印发了《北京市司法局2023年“智慧法治”建设任务清单》，明确8类27项任务。推进北京市行政复议与应诉工作平台建设、北京市行政执法信息服务平台三期应用，研究推进平台四期建设</w:t>
      </w:r>
      <w:bookmarkStart w:id="0" w:name="_Hlk167104733"/>
      <w:r>
        <w:rPr>
          <w:rFonts w:hint="eastAsia"/>
        </w:rPr>
        <w:t>。</w:t>
      </w:r>
      <w:bookmarkEnd w:id="0"/>
      <w:r>
        <w:rPr>
          <w:rFonts w:hint="eastAsia"/>
        </w:rPr>
        <w:t>完成了“智慧矫正”项目建设和验收，完善了社区矫正综合管理平台和移动应用APP功能。</w:t>
      </w:r>
    </w:p>
    <w:p>
      <w:pPr>
        <w:pStyle w:val="21"/>
      </w:pPr>
      <w:r>
        <w:rPr>
          <w:rFonts w:hint="eastAsia"/>
        </w:rPr>
        <w:t>（7）党建队建工作得到全面加强</w:t>
      </w:r>
    </w:p>
    <w:p>
      <w:pPr>
        <w:pStyle w:val="21"/>
        <w:ind w:firstLine="643"/>
      </w:pPr>
      <w:r>
        <w:rPr>
          <w:rFonts w:hint="eastAsia"/>
          <w:b/>
          <w:bCs/>
        </w:rPr>
        <w:t>一是坚持全面从严治党。</w:t>
      </w:r>
      <w:r>
        <w:rPr>
          <w:rFonts w:hint="eastAsia"/>
        </w:rPr>
        <w:t>深化全系统政治巡察，落实巡察工作五年规划，完成了全年对基层党委的政治巡察。</w:t>
      </w:r>
      <w:r>
        <w:rPr>
          <w:rFonts w:hint="eastAsia"/>
          <w:b/>
          <w:bCs/>
        </w:rPr>
        <w:t>二是加强作风纪律建设。</w:t>
      </w:r>
      <w:r>
        <w:rPr>
          <w:rFonts w:hint="eastAsia"/>
        </w:rPr>
        <w:t>完成2名领导干部经济责任审计，方圆、长安公证处和市律师协会财务收支审计，市法援中心办案补贴和值班补贴专项审计和人民监督员专项经费监督检查。</w:t>
      </w:r>
      <w:r>
        <w:rPr>
          <w:rFonts w:hint="eastAsia"/>
          <w:b/>
          <w:bCs/>
        </w:rPr>
        <w:t>三是抓好干部和人才队伍建设。</w:t>
      </w:r>
      <w:r>
        <w:rPr>
          <w:rFonts w:hint="eastAsia"/>
        </w:rPr>
        <w:t>完成了干部任命提拔工作，完成了2023年公务员考录工作，启动了2023年度公证员、司法鉴定人员职称评审工作，完成了第八届北京仲裁委员会组成人员聘任工作。落实全市援合任务，完成了新一批援疆干部选派工作。</w:t>
      </w:r>
    </w:p>
    <w:p>
      <w:pPr>
        <w:pStyle w:val="20"/>
      </w:pPr>
      <w:bookmarkStart w:id="1" w:name="_Hlk167093795"/>
      <w:r>
        <w:rPr>
          <w:rFonts w:hint="eastAsia"/>
        </w:rPr>
        <w:t>2.产出</w:t>
      </w:r>
      <w:r>
        <w:t>质量</w:t>
      </w:r>
    </w:p>
    <w:p>
      <w:pPr>
        <w:pStyle w:val="21"/>
      </w:pPr>
      <w:r>
        <w:rPr>
          <w:rFonts w:hint="eastAsia"/>
        </w:rPr>
        <w:t>我局2</w:t>
      </w:r>
      <w:r>
        <w:t>02</w:t>
      </w:r>
      <w:r>
        <w:rPr>
          <w:rFonts w:hint="eastAsia"/>
        </w:rPr>
        <w:t>3年部门工作完成质量较好。法律职业资格申请、立法及规范性文件做到应审尽审，行政诉讼案件办理与工作要求相符，法律援助相关办案补贴发放工作符合相关办法要求，公共法律服务相关平台保障工作、信访投诉与行政处罚执法办案、审计评审评估评价等司法相关事务均实现应保尽保，后勤综合服务保障率、全市人民监督员选任管理工作保障率、律师培训参与度、舆情应对和处置的信息基础保障率均达到1</w:t>
      </w:r>
      <w:r>
        <w:t>00</w:t>
      </w:r>
      <w:r>
        <w:rPr>
          <w:rFonts w:hint="eastAsia"/>
        </w:rPr>
        <w:t>%，各类宣传工作实际覆盖面、宣传信息发布频次与计划相符率，系统内各类网络联通及正常运行率、信息化故障响应及排除率均达到99%以上，4</w:t>
      </w:r>
      <w:r>
        <w:t>008</w:t>
      </w:r>
      <w:r>
        <w:rPr>
          <w:rFonts w:hint="eastAsia"/>
        </w:rPr>
        <w:t>咨询电话接通率达到</w:t>
      </w:r>
      <w:r>
        <w:t>9</w:t>
      </w:r>
      <w:r>
        <w:rPr>
          <w:rFonts w:hint="eastAsia"/>
        </w:rPr>
        <w:t>5%，各项质量指标完成情况达到预期目标。</w:t>
      </w:r>
    </w:p>
    <w:bookmarkEnd w:id="1"/>
    <w:p>
      <w:pPr>
        <w:pStyle w:val="20"/>
      </w:pPr>
      <w:r>
        <w:rPr>
          <w:rFonts w:hint="eastAsia"/>
        </w:rPr>
        <w:t>3.产出</w:t>
      </w:r>
      <w:r>
        <w:t>进度</w:t>
      </w:r>
    </w:p>
    <w:p>
      <w:pPr>
        <w:pStyle w:val="21"/>
      </w:pPr>
      <w:r>
        <w:rPr>
          <w:rFonts w:hint="eastAsia"/>
        </w:rPr>
        <w:t>我局2023年部门工作任务总体符合计划进度要求，在年中绩效监控阶段发现进度滞后的工作，及时采取了相应改进措施，但仍有个别工作受工作计划调整影响，未能于年度内完成。</w:t>
      </w:r>
    </w:p>
    <w:p>
      <w:pPr>
        <w:pStyle w:val="20"/>
      </w:pPr>
      <w:r>
        <w:t>4.</w:t>
      </w:r>
      <w:r>
        <w:rPr>
          <w:rFonts w:hint="eastAsia"/>
        </w:rPr>
        <w:t>产出</w:t>
      </w:r>
      <w:r>
        <w:t>成本</w:t>
      </w:r>
    </w:p>
    <w:p>
      <w:pPr>
        <w:pStyle w:val="20"/>
      </w:pPr>
      <w:r>
        <w:rPr>
          <w:rFonts w:hint="eastAsia" w:hAnsi="仿宋_GB2312" w:cs="仿宋_GB2312"/>
        </w:rPr>
        <w:t>总体上，我局基本支出及各项目支出均控制在年度预算范围内，部门整体运营成本为</w:t>
      </w:r>
      <w:r>
        <w:t>21027</w:t>
      </w:r>
      <w:r>
        <w:rPr>
          <w:rFonts w:hint="eastAsia"/>
        </w:rPr>
        <w:t>.</w:t>
      </w:r>
      <w:r>
        <w:t>85万元</w:t>
      </w:r>
      <w:r>
        <w:rPr>
          <w:rFonts w:hint="eastAsia"/>
        </w:rPr>
        <w:t>，</w:t>
      </w:r>
      <w:r>
        <w:t>其中</w:t>
      </w:r>
      <w:r>
        <w:rPr>
          <w:rFonts w:hint="eastAsia"/>
        </w:rPr>
        <w:t>：</w:t>
      </w:r>
      <w:r>
        <w:t>基本支出14868</w:t>
      </w:r>
      <w:r>
        <w:rPr>
          <w:rFonts w:hint="eastAsia"/>
        </w:rPr>
        <w:t>.</w:t>
      </w:r>
      <w:r>
        <w:t>4</w:t>
      </w:r>
      <w:r>
        <w:rPr>
          <w:rFonts w:hint="eastAsia"/>
        </w:rPr>
        <w:t>1</w:t>
      </w:r>
      <w:r>
        <w:t>万元</w:t>
      </w:r>
      <w:r>
        <w:rPr>
          <w:rFonts w:hint="eastAsia"/>
        </w:rPr>
        <w:t>，占支出合计的</w:t>
      </w:r>
      <w:r>
        <w:t>70.71%</w:t>
      </w:r>
      <w:r>
        <w:rPr>
          <w:rFonts w:hint="eastAsia"/>
        </w:rPr>
        <w:t>；</w:t>
      </w:r>
      <w:r>
        <w:t>项目</w:t>
      </w:r>
      <w:r>
        <w:rPr>
          <w:rFonts w:hint="eastAsia"/>
        </w:rPr>
        <w:t>支出</w:t>
      </w:r>
      <w:r>
        <w:t>6159</w:t>
      </w:r>
      <w:r>
        <w:rPr>
          <w:rFonts w:hint="eastAsia"/>
        </w:rPr>
        <w:t>.</w:t>
      </w:r>
      <w:r>
        <w:t>4</w:t>
      </w:r>
      <w:r>
        <w:rPr>
          <w:rFonts w:hint="eastAsia"/>
        </w:rPr>
        <w:t>5</w:t>
      </w:r>
      <w:r>
        <w:t>万元，</w:t>
      </w:r>
      <w:r>
        <w:rPr>
          <w:rFonts w:hint="eastAsia"/>
        </w:rPr>
        <w:t>占支出合计的</w:t>
      </w:r>
      <w:r>
        <w:t>29.29%</w:t>
      </w:r>
      <w:r>
        <w:rPr>
          <w:rFonts w:hint="eastAsia"/>
        </w:rPr>
        <w:t>。</w:t>
      </w:r>
    </w:p>
    <w:p>
      <w:pPr>
        <w:pStyle w:val="20"/>
        <w:rPr>
          <w:rFonts w:hAnsi="仿宋_GB2312" w:cs="仿宋_GB2312"/>
        </w:rPr>
      </w:pPr>
      <w:r>
        <w:rPr>
          <w:rFonts w:hint="eastAsia" w:hAnsi="仿宋_GB2312" w:cs="仿宋_GB2312"/>
        </w:rPr>
        <w:t>年度预算执行中，我局继续根据</w:t>
      </w:r>
      <w:r>
        <w:rPr>
          <w:rFonts w:hAnsi="仿宋_GB2312" w:cs="仿宋_GB2312"/>
        </w:rPr>
        <w:t>“厉行节约,反对浪费”</w:t>
      </w:r>
      <w:r>
        <w:rPr>
          <w:rFonts w:hint="eastAsia" w:hAnsi="仿宋_GB2312" w:cs="仿宋_GB2312"/>
        </w:rPr>
        <w:t>的原则，严格按照相关制度要求控制运行成本，以无纸化办公、物品循环再利用等方式降低成本支出，以公开招标、比选等竞争性采购方式节约财政资金，未出现单项成本明显高于市场价格的情况。</w:t>
      </w:r>
    </w:p>
    <w:p>
      <w:pPr>
        <w:pStyle w:val="20"/>
        <w:rPr>
          <w:rFonts w:hAnsi="仿宋_GB2312" w:cs="仿宋_GB2312"/>
        </w:rPr>
      </w:pPr>
      <w:r>
        <w:rPr>
          <w:rFonts w:hint="eastAsia" w:hAnsi="仿宋_GB2312" w:cs="仿宋_GB2312"/>
        </w:rPr>
        <w:t>公用经费方面，我局年初申报公用经费预算</w:t>
      </w:r>
      <w:r>
        <w:rPr>
          <w:rFonts w:hAnsi="仿宋_GB2312" w:cs="仿宋_GB2312"/>
        </w:rPr>
        <w:t>1137</w:t>
      </w:r>
      <w:r>
        <w:rPr>
          <w:rFonts w:hint="eastAsia" w:hAnsi="仿宋_GB2312" w:cs="仿宋_GB2312"/>
        </w:rPr>
        <w:t>.</w:t>
      </w:r>
      <w:r>
        <w:rPr>
          <w:rFonts w:hAnsi="仿宋_GB2312" w:cs="仿宋_GB2312"/>
        </w:rPr>
        <w:t>05</w:t>
      </w:r>
      <w:r>
        <w:rPr>
          <w:rFonts w:hint="eastAsia" w:hAnsi="仿宋_GB2312" w:cs="仿宋_GB2312"/>
        </w:rPr>
        <w:t>万元，实际支出公用经费</w:t>
      </w:r>
      <w:r>
        <w:rPr>
          <w:rFonts w:hAnsi="仿宋_GB2312" w:cs="仿宋_GB2312"/>
        </w:rPr>
        <w:t>896</w:t>
      </w:r>
      <w:r>
        <w:rPr>
          <w:rFonts w:hint="eastAsia" w:hAnsi="仿宋_GB2312" w:cs="仿宋_GB2312"/>
        </w:rPr>
        <w:t>.</w:t>
      </w:r>
      <w:r>
        <w:rPr>
          <w:rFonts w:hAnsi="仿宋_GB2312" w:cs="仿宋_GB2312"/>
        </w:rPr>
        <w:t>3</w:t>
      </w:r>
      <w:r>
        <w:rPr>
          <w:rFonts w:hint="eastAsia" w:hAnsi="仿宋_GB2312" w:cs="仿宋_GB2312"/>
        </w:rPr>
        <w:t>2万元，占年初申报金额的</w:t>
      </w:r>
      <w:r>
        <w:rPr>
          <w:rFonts w:hAnsi="仿宋_GB2312" w:cs="仿宋_GB2312"/>
        </w:rPr>
        <w:t>78.83%</w:t>
      </w:r>
      <w:r>
        <w:rPr>
          <w:rFonts w:hint="eastAsia" w:hAnsi="仿宋_GB2312" w:cs="仿宋_GB2312"/>
        </w:rPr>
        <w:t>。我局年初申报2</w:t>
      </w:r>
      <w:r>
        <w:rPr>
          <w:rFonts w:hAnsi="仿宋_GB2312" w:cs="仿宋_GB2312"/>
        </w:rPr>
        <w:t>02</w:t>
      </w:r>
      <w:r>
        <w:rPr>
          <w:rFonts w:hint="eastAsia" w:hAnsi="仿宋_GB2312" w:cs="仿宋_GB2312"/>
        </w:rPr>
        <w:t>3年度“三公”经费</w:t>
      </w:r>
      <w:r>
        <w:rPr>
          <w:rFonts w:hAnsi="仿宋_GB2312" w:cs="仿宋_GB2312"/>
        </w:rPr>
        <w:t>103</w:t>
      </w:r>
      <w:r>
        <w:rPr>
          <w:rFonts w:hint="eastAsia" w:hAnsi="仿宋_GB2312" w:cs="仿宋_GB2312"/>
        </w:rPr>
        <w:t>.</w:t>
      </w:r>
      <w:r>
        <w:rPr>
          <w:rFonts w:hAnsi="仿宋_GB2312" w:cs="仿宋_GB2312"/>
        </w:rPr>
        <w:t>05</w:t>
      </w:r>
      <w:r>
        <w:rPr>
          <w:rFonts w:hint="eastAsia" w:hAnsi="仿宋_GB2312" w:cs="仿宋_GB2312"/>
        </w:rPr>
        <w:t>万元，在执行中牢固树立过紧日子的思想，强化三公经费的管理，大力压减非必须、非刚性支出，从严从紧控制三公经费支出，2</w:t>
      </w:r>
      <w:r>
        <w:rPr>
          <w:rFonts w:hAnsi="仿宋_GB2312" w:cs="仿宋_GB2312"/>
        </w:rPr>
        <w:t>02</w:t>
      </w:r>
      <w:r>
        <w:rPr>
          <w:rFonts w:hint="eastAsia" w:hAnsi="仿宋_GB2312" w:cs="仿宋_GB2312"/>
        </w:rPr>
        <w:t>3年实际发生“三公”经费</w:t>
      </w:r>
      <w:r>
        <w:rPr>
          <w:rFonts w:hAnsi="仿宋_GB2312" w:cs="仿宋_GB2312"/>
        </w:rPr>
        <w:t>31</w:t>
      </w:r>
      <w:r>
        <w:rPr>
          <w:rFonts w:hint="eastAsia" w:hAnsi="仿宋_GB2312" w:cs="仿宋_GB2312"/>
        </w:rPr>
        <w:t>.</w:t>
      </w:r>
      <w:r>
        <w:rPr>
          <w:rFonts w:hAnsi="仿宋_GB2312" w:cs="仿宋_GB2312"/>
        </w:rPr>
        <w:t>25</w:t>
      </w:r>
      <w:r>
        <w:rPr>
          <w:rFonts w:hint="eastAsia" w:hAnsi="仿宋_GB2312" w:cs="仿宋_GB2312"/>
        </w:rPr>
        <w:t>万元。</w:t>
      </w:r>
    </w:p>
    <w:p>
      <w:pPr>
        <w:pStyle w:val="19"/>
      </w:pPr>
      <w:r>
        <w:rPr>
          <w:rFonts w:hint="eastAsia"/>
        </w:rPr>
        <w:t>（二）效果</w:t>
      </w:r>
      <w:r>
        <w:t>实现情况分析</w:t>
      </w:r>
    </w:p>
    <w:p>
      <w:pPr>
        <w:pStyle w:val="20"/>
      </w:pPr>
      <w:r>
        <w:rPr>
          <w:rFonts w:hint="eastAsia"/>
        </w:rPr>
        <w:t>1.经济</w:t>
      </w:r>
      <w:r>
        <w:t>效益</w:t>
      </w:r>
    </w:p>
    <w:p>
      <w:pPr>
        <w:pStyle w:val="21"/>
      </w:pPr>
      <w:r>
        <w:rPr>
          <w:rFonts w:hint="eastAsia"/>
        </w:rPr>
        <w:t>我局作为负责北京市司法行政工作的政府部门，年度工作开展不直接对经济发展产生影响。但我局向市民提供法律援助等公共法律服务，能够在一定程度上保障弱势群体权益，为受援人挽回经济损失。据统计，我局2</w:t>
      </w:r>
      <w:r>
        <w:t>02</w:t>
      </w:r>
      <w:r>
        <w:rPr>
          <w:rFonts w:hint="eastAsia"/>
        </w:rPr>
        <w:t>3年共计为受援人挽回经济损失6298万元。</w:t>
      </w:r>
    </w:p>
    <w:p>
      <w:pPr>
        <w:pStyle w:val="20"/>
      </w:pPr>
      <w:r>
        <w:rPr>
          <w:rFonts w:hint="eastAsia"/>
        </w:rPr>
        <w:t>2.社会效益</w:t>
      </w:r>
    </w:p>
    <w:p>
      <w:pPr>
        <w:pStyle w:val="21"/>
      </w:pPr>
      <w:r>
        <w:rPr>
          <w:rFonts w:hint="eastAsia"/>
        </w:rPr>
        <w:t>（1）推进首都法治建设，维护首都安全稳定</w:t>
      </w:r>
    </w:p>
    <w:p>
      <w:pPr>
        <w:pStyle w:val="21"/>
      </w:pPr>
      <w:r>
        <w:rPr>
          <w:rFonts w:hint="eastAsia"/>
        </w:rPr>
        <w:t>一是通过参加北京市贯彻落实党的二十大精神系列主题新闻发布会，以法治政府建设示范创建工作成果为主题完成首场发布，充分展示了法治政府建设北京实践成果。二是。依托全系统各级指挥中心为基础构建“1+6+16”指挥体系，按照工作部署精细化、任务责任明晰化、工作落实规范化、战时保障机制化的思路，在全国两会等重大会议以及疫情防控常态化、传统节假日、重点敏感时期、突发事件处置等关键节点，召开了各类维稳安保动员部署会10余次，统筹了相关部门落实维稳安保措施，较好地发挥了司法行政工作对维护首都安全稳定的先导性预防作用。三是通过对近年来社区矫正对象重新违法犯罪情况进行系统梳理调研，归纳出重犯风险较高的人员并加大教育稳控力度。对不服从监督管理的人员进行了依法严厉打击，切实维护了社区矫正刑事执行工作的严肃性和权威性。通过研究制定社区矫正对象分类管理制度，不断提高社区矫正对象监督管理精细化水平。</w:t>
      </w:r>
    </w:p>
    <w:p>
      <w:pPr>
        <w:pStyle w:val="21"/>
      </w:pPr>
      <w:r>
        <w:rPr>
          <w:rFonts w:hint="eastAsia"/>
        </w:rPr>
        <w:t>（2）增强市民法治意识，提高地区法制化水平</w:t>
      </w:r>
    </w:p>
    <w:p>
      <w:pPr>
        <w:pStyle w:val="21"/>
      </w:pPr>
      <w:r>
        <w:rPr>
          <w:rFonts w:hint="eastAsia"/>
        </w:rPr>
        <w:t>2023年通过组织全市法治文艺大赛、开展国家安全主题普法活动、“北京地铁民法典法治文化节”系列宣传活动、“送法下乡”暨“法律进工地”主题宣传活动、“普法宣传挂图进基层”等一系列普法宣传活动，构建了全时覆盖、全域覆盖、全网覆盖的宪法宣传格局。通过制作普法挂图、拍摄普法短视频等宣传工作，着力推进首都法治文化建设，切实提升社会公众学法用法水平。</w:t>
      </w:r>
    </w:p>
    <w:p>
      <w:pPr>
        <w:pStyle w:val="21"/>
      </w:pPr>
      <w:r>
        <w:rPr>
          <w:rFonts w:hint="eastAsia"/>
        </w:rPr>
        <w:t>（3）完善便民法律服务，维护群众利益诉求</w:t>
      </w:r>
    </w:p>
    <w:p>
      <w:pPr>
        <w:pStyle w:val="21"/>
      </w:pPr>
      <w:r>
        <w:rPr>
          <w:rFonts w:hint="eastAsia"/>
        </w:rPr>
        <w:t>2023年，我局进一步加强公共法律服务供给，通过开展公共法律服务发展“不均衡、不充分”专项调研摸排活动，摸排各类问题200余个，为出台《北京市公共法律服务均衡发展若干措施》奠定基础。在全国公共法律服务体系建设第三方评估工作中，北京评估等级为优秀，位居全国前列。在“接诉即办”工作方面，有10个月在全市接诉即办考评中并列排名第一。公共法律服务网络平台、实体平台、热线平台进一步融合发展，为群众</w:t>
      </w:r>
      <w:r>
        <w:rPr>
          <w:rFonts w:asciiTheme="minorHAnsi" w:hAnsiTheme="minorHAnsi"/>
        </w:rPr>
        <w:t>了</w:t>
      </w:r>
      <w:r>
        <w:rPr>
          <w:rFonts w:hint="eastAsia"/>
        </w:rPr>
        <w:t>提供普惠、均等的公共法律服务。相关工作的开展</w:t>
      </w:r>
      <w:r>
        <w:rPr>
          <w:rFonts w:hint="eastAsia" w:hAnsi="仿宋_GB2312" w:cs="仿宋_GB2312"/>
        </w:rPr>
        <w:t>提高了首都公共法律服务的能力水平，有助于切实服务于群众利益诉求。</w:t>
      </w:r>
    </w:p>
    <w:p>
      <w:pPr>
        <w:pStyle w:val="20"/>
      </w:pPr>
      <w:r>
        <w:rPr>
          <w:rFonts w:hint="eastAsia"/>
        </w:rPr>
        <w:t>4.可持续</w:t>
      </w:r>
      <w:r>
        <w:t>性影响</w:t>
      </w:r>
    </w:p>
    <w:p>
      <w:pPr>
        <w:pStyle w:val="21"/>
      </w:pPr>
      <w:r>
        <w:rPr>
          <w:rFonts w:hint="eastAsia"/>
        </w:rPr>
        <w:t>司法行政领域深化改革方面，2</w:t>
      </w:r>
      <w:r>
        <w:t>02</w:t>
      </w:r>
      <w:r>
        <w:rPr>
          <w:rFonts w:hint="eastAsia"/>
        </w:rPr>
        <w:t>3年，我局组织召开市局全面深化改革领导小组会议，制定年度改革工作要点，明确了18项改革任务，深入推进司法行政系统改革。进一步加强了《北京市政法领域全面深化改革任务分工方案（2020-2023）》（市司法局）任务落实的督查总结。调整了市局全面深化改革领导小组人员，加大对改革工作的统筹力度。持续推进“微改革、微创新”，激发基层改革动力。</w:t>
      </w:r>
    </w:p>
    <w:p>
      <w:pPr>
        <w:pStyle w:val="21"/>
      </w:pPr>
      <w:r>
        <w:rPr>
          <w:rFonts w:hint="eastAsia"/>
        </w:rPr>
        <w:t>信息化体系建设方面，我局推进“智慧法治”建设。印发了《北京市司法局2023年“智慧法治”建设任务清单》，明确8类27项任务，为后续信息化体系建设提供指导方向。在行政执法监督和监狱刑罚执行领域，推动“区块链+法治”国家区块链创新应用试点工作，并按期取得实效。司法部信息中心来我局调研信息化建设成果并给予高度评价。</w:t>
      </w:r>
    </w:p>
    <w:p>
      <w:pPr>
        <w:pStyle w:val="20"/>
      </w:pPr>
      <w:r>
        <w:rPr>
          <w:rFonts w:hint="eastAsia"/>
        </w:rPr>
        <w:t>5.服务对象</w:t>
      </w:r>
      <w:r>
        <w:t>满意度</w:t>
      </w:r>
    </w:p>
    <w:p>
      <w:pPr>
        <w:pStyle w:val="21"/>
      </w:pPr>
      <w:r>
        <w:rPr>
          <w:rFonts w:hint="eastAsia"/>
        </w:rPr>
        <w:t>2023年，已顺利完成第三批全国法治政府建设示范创建初步评审，我市法制政府建设水平较好。据统计，公证质量检查及公证员评审工作未发生投诉情况，社会公众对普法宣传工作的满意度达到95%，服务对象满意度达到预期计划目标，满意度情况较好。</w:t>
      </w:r>
    </w:p>
    <w:p>
      <w:pPr>
        <w:pStyle w:val="18"/>
      </w:pPr>
      <w:r>
        <w:rPr>
          <w:rFonts w:hint="eastAsia"/>
        </w:rPr>
        <w:t>四</w:t>
      </w:r>
      <w:r>
        <w:t>、预算管理</w:t>
      </w:r>
      <w:r>
        <w:rPr>
          <w:rFonts w:hint="eastAsia"/>
        </w:rPr>
        <w:t>情况分</w:t>
      </w:r>
      <w:r>
        <w:t>析</w:t>
      </w:r>
    </w:p>
    <w:p>
      <w:pPr>
        <w:pStyle w:val="19"/>
      </w:pPr>
      <w:r>
        <w:rPr>
          <w:rFonts w:hint="eastAsia"/>
        </w:rPr>
        <w:t>（一）财务管理</w:t>
      </w:r>
    </w:p>
    <w:p>
      <w:pPr>
        <w:pStyle w:val="20"/>
      </w:pPr>
      <w:r>
        <w:rPr>
          <w:rFonts w:hint="eastAsia"/>
        </w:rPr>
        <w:t>1.财务</w:t>
      </w:r>
      <w:r>
        <w:t>管理制度健全性</w:t>
      </w:r>
    </w:p>
    <w:p>
      <w:pPr>
        <w:pStyle w:val="21"/>
      </w:pPr>
      <w:r>
        <w:rPr>
          <w:rFonts w:hint="eastAsia"/>
        </w:rPr>
        <w:t>根据财政部、北京市财政局（以下简称“市财政局”）相关规范要求，我局结合单位实际情况，全面梳理单位经济活动，制定了《北京市司法局内控手册》，并于2023年度对内部控制手册进行了更新及完善，以制度形式，明确了单位预算管理、绩效跟踪管理、资产管理、内部财务管理、会计核算等方面要求。总体上，我局财务管理制度较为健全。</w:t>
      </w:r>
    </w:p>
    <w:p>
      <w:pPr>
        <w:pStyle w:val="21"/>
      </w:pPr>
      <w:r>
        <w:rPr>
          <w:rFonts w:hint="eastAsia"/>
        </w:rPr>
        <w:t>预算资金管理方面，一是明确了涵盖预算编报、批复下达、执行、追加调整、决算、绩效评价等程序的工作流程和风险控制矩阵；二是制定了《北京市司法局预算管理办法》，并指导各直属事业单位分别制定了本单位预算管理办法，对预算管理职责、预算编制、预算分配与执行、调整与追加、绩效管理、决算、预算督导与检查等提出了具体要求。</w:t>
      </w:r>
    </w:p>
    <w:p>
      <w:pPr>
        <w:pStyle w:val="21"/>
      </w:pPr>
      <w:r>
        <w:rPr>
          <w:rFonts w:hint="eastAsia"/>
        </w:rPr>
        <w:t>绩效跟踪管理方面，主要是根据预算资金管理工作流程、风险控制矩阵及《北京市司法局预算管理办法》中关于绩效评价、绩效管理等方面的管理要求，按照市财政局印发的《北京市预算绩效管理办法》《北京市市级财政支出事前绩效评估管理办法》《北京市预算绩效目标管理办法》《北京市市级部门预算绩效运行监控管理办法》《北京市项目支出绩效评价管理办法》《北京市市级财政支出成本预算绩效分析操作流程》等制度文件执行。</w:t>
      </w:r>
    </w:p>
    <w:p>
      <w:pPr>
        <w:pStyle w:val="21"/>
      </w:pPr>
      <w:r>
        <w:rPr>
          <w:rFonts w:hint="eastAsia"/>
        </w:rPr>
        <w:t>资产管理方面，一是明确了库存现金、固定（无形）资产管理流程和资产管理程序风险控制矩阵；二是制定了《北京市司法局固定资产管理办法》，并指导各直属事业单位分别制定了固定资产管理办法/规定，对固定资产的范围、分类、计量、配置、日常管理、处置、清查等提出了具体要求。</w:t>
      </w:r>
    </w:p>
    <w:p>
      <w:pPr>
        <w:pStyle w:val="21"/>
      </w:pPr>
      <w:r>
        <w:rPr>
          <w:rFonts w:hint="eastAsia"/>
        </w:rPr>
        <w:t>内部财务管理方面，一是明确了采购管理、合同管理、收支管理的工作流程和风险控制矩阵；二是制定了《北京市司法局支出管理办法》《北京市司法局公务卡使用管理规定》《北京市司法局差旅费管理办法》《北京市司法局采购管理办法》《北京市司法局合同管理办法》等管理制度，并指导各直属事业单位分别制定了相应财务管理制度，但个别制度尚未结合上位法修订情况予以更新。</w:t>
      </w:r>
    </w:p>
    <w:p>
      <w:pPr>
        <w:pStyle w:val="21"/>
      </w:pPr>
      <w:r>
        <w:rPr>
          <w:rFonts w:hint="eastAsia"/>
        </w:rPr>
        <w:t>会计核算方面，主要根据内部控制关键岗位职责、各项收支管理规定中关于会计核算的要求执行，如《北京市司法局公务卡使用规定》《北京市市级预算单位现金提取和使用管理办法》。</w:t>
      </w:r>
    </w:p>
    <w:p>
      <w:pPr>
        <w:pStyle w:val="20"/>
      </w:pPr>
      <w:r>
        <w:rPr>
          <w:rFonts w:hint="eastAsia"/>
        </w:rPr>
        <w:t>2.资金使用合规性</w:t>
      </w:r>
      <w:r>
        <w:t>和安全性</w:t>
      </w:r>
    </w:p>
    <w:p>
      <w:pPr>
        <w:pStyle w:val="21"/>
      </w:pPr>
      <w:r>
        <w:rPr>
          <w:rFonts w:hint="eastAsia"/>
        </w:rPr>
        <w:t>我局严格按照财政部、市财政局及本单位相关财务管理制度规定使用和支出资金。资金支出时，由经办人提出申请，经负责人审核通过后报装备财务保障处进行合规性审核，针对5千元以内的支出，通过合规性审核后交由出纳岗办理支付、会计岗记账；针对5千元以上的支出，通过合规性审核后需由分管局领导审批后交由出纳岗办理支付、会计岗记账。我局2</w:t>
      </w:r>
      <w:r>
        <w:t>02</w:t>
      </w:r>
      <w:r>
        <w:rPr>
          <w:rFonts w:hint="eastAsia"/>
        </w:rPr>
        <w:t>3年度资金拨付均履行了完整的审批程序和手续，针对2</w:t>
      </w:r>
      <w:r>
        <w:t>0</w:t>
      </w:r>
      <w:r>
        <w:rPr>
          <w:rFonts w:hint="eastAsia"/>
        </w:rPr>
        <w:t>万元以上且无明确支出标准的支出均进行了评审论证，资金支出方向与部门预算批复用途基本一致，不存在截留、挤占、挪用的情况，资金使用符合政府采购程序与流程，符合公务卡结算相关制度和规定。</w:t>
      </w:r>
    </w:p>
    <w:p>
      <w:pPr>
        <w:pStyle w:val="20"/>
      </w:pPr>
      <w:r>
        <w:t>3.</w:t>
      </w:r>
      <w:r>
        <w:rPr>
          <w:rFonts w:hint="eastAsia"/>
        </w:rPr>
        <w:t>会计</w:t>
      </w:r>
      <w:r>
        <w:t>基础信息完善性</w:t>
      </w:r>
    </w:p>
    <w:p>
      <w:pPr>
        <w:pStyle w:val="21"/>
      </w:pPr>
      <w:r>
        <w:rPr>
          <w:rFonts w:hint="eastAsia"/>
        </w:rPr>
        <w:t>我局注重会计基础信息和会计信息资料的真实性、准确性、完整性管理，发生资金收入、支出后及时登记入账，会计凭证及其附件资料已按时装订成册并由专人保管。</w:t>
      </w:r>
    </w:p>
    <w:p>
      <w:pPr>
        <w:pStyle w:val="19"/>
      </w:pPr>
      <w:r>
        <w:rPr>
          <w:rFonts w:hint="eastAsia"/>
        </w:rPr>
        <w:t>（二）资产管理</w:t>
      </w:r>
    </w:p>
    <w:p>
      <w:pPr>
        <w:pStyle w:val="21"/>
      </w:pPr>
      <w:r>
        <w:rPr>
          <w:rFonts w:hint="eastAsia"/>
        </w:rPr>
        <w:t>我局严格按照《北京市司法局固定资产管理办法》等制度要求进行资产管理，将使用年限在1年（不含）以上，单价在1</w:t>
      </w:r>
      <w:r>
        <w:t>000</w:t>
      </w:r>
      <w:r>
        <w:rPr>
          <w:rFonts w:hint="eastAsia"/>
        </w:rPr>
        <w:t>元以上的一般设备，单价在1</w:t>
      </w:r>
      <w:r>
        <w:t>500</w:t>
      </w:r>
      <w:r>
        <w:rPr>
          <w:rFonts w:hint="eastAsia"/>
        </w:rPr>
        <w:t>元以上的专用设备，且在使用过程中基本保存实物形态的资产列入固定资产管理。各入库资产由资产使用人和保管人负责日常维护和保养，信息技术处负责检修，装备财务保障处负责联系专业维修人员上门维修。截至2023年底，我局现有固定资产原值</w:t>
      </w:r>
      <w:r>
        <w:t>21585</w:t>
      </w:r>
      <w:r>
        <w:rPr>
          <w:rFonts w:hint="eastAsia"/>
        </w:rPr>
        <w:t>.</w:t>
      </w:r>
      <w:r>
        <w:t>8</w:t>
      </w:r>
      <w:r>
        <w:rPr>
          <w:rFonts w:hint="eastAsia"/>
        </w:rPr>
        <w:t>3万元，其中：土地、房屋及构筑物原值</w:t>
      </w:r>
      <w:r>
        <w:t>16450</w:t>
      </w:r>
      <w:r>
        <w:rPr>
          <w:rFonts w:hint="eastAsia"/>
        </w:rPr>
        <w:t>.</w:t>
      </w:r>
      <w:r>
        <w:t>56</w:t>
      </w:r>
      <w:r>
        <w:rPr>
          <w:rFonts w:hint="eastAsia"/>
        </w:rPr>
        <w:t>万元，设备原值</w:t>
      </w:r>
      <w:r>
        <w:t>4887</w:t>
      </w:r>
      <w:r>
        <w:rPr>
          <w:rFonts w:hint="eastAsia"/>
        </w:rPr>
        <w:t>.</w:t>
      </w:r>
      <w:r>
        <w:t>15</w:t>
      </w:r>
      <w:r>
        <w:rPr>
          <w:rFonts w:hint="eastAsia"/>
        </w:rPr>
        <w:t>万元，家具用具原值</w:t>
      </w:r>
      <w:r>
        <w:t>248</w:t>
      </w:r>
      <w:r>
        <w:rPr>
          <w:rFonts w:hint="eastAsia"/>
        </w:rPr>
        <w:t>.</w:t>
      </w:r>
      <w:r>
        <w:t>11</w:t>
      </w:r>
      <w:r>
        <w:rPr>
          <w:rFonts w:hint="eastAsia"/>
        </w:rPr>
        <w:t>万元</w:t>
      </w:r>
      <w:r>
        <w:rPr>
          <w:rStyle w:val="13"/>
        </w:rPr>
        <w:footnoteReference w:id="1"/>
      </w:r>
      <w:r>
        <w:rPr>
          <w:rFonts w:hint="eastAsia"/>
        </w:rPr>
        <w:t>。无形资产原值</w:t>
      </w:r>
      <w:r>
        <w:t>5514</w:t>
      </w:r>
      <w:r>
        <w:rPr>
          <w:rFonts w:hint="eastAsia"/>
        </w:rPr>
        <w:t>.</w:t>
      </w:r>
      <w:r>
        <w:t>57</w:t>
      </w:r>
      <w:r>
        <w:rPr>
          <w:rFonts w:hint="eastAsia"/>
        </w:rPr>
        <w:t>万元。</w:t>
      </w:r>
    </w:p>
    <w:p>
      <w:pPr>
        <w:pStyle w:val="21"/>
      </w:pPr>
      <w:r>
        <w:rPr>
          <w:rFonts w:hint="eastAsia"/>
        </w:rPr>
        <w:t>2</w:t>
      </w:r>
      <w:r>
        <w:t>02</w:t>
      </w:r>
      <w:r>
        <w:rPr>
          <w:rFonts w:hint="eastAsia"/>
        </w:rPr>
        <w:t>3年我局资产使用规范，资产账实一致，无盘盈盘亏问题。不存在超标准配置资产，不存在未经批准擅自出租、出借资产行为，不存在不按要求进行报批或资产不公开处置行为，不存在对外投资行为，未因管理不当发生严重资产损失和丢失情况。</w:t>
      </w:r>
    </w:p>
    <w:p>
      <w:pPr>
        <w:pStyle w:val="19"/>
      </w:pPr>
      <w:r>
        <w:rPr>
          <w:rFonts w:hint="eastAsia"/>
        </w:rPr>
        <w:t>（三）绩效</w:t>
      </w:r>
      <w:r>
        <w:t>管理</w:t>
      </w:r>
    </w:p>
    <w:p>
      <w:pPr>
        <w:pStyle w:val="21"/>
      </w:pPr>
      <w:r>
        <w:rPr>
          <w:rFonts w:hint="eastAsia"/>
        </w:rPr>
        <w:t>2</w:t>
      </w:r>
      <w:r>
        <w:t>02</w:t>
      </w:r>
      <w:r>
        <w:rPr>
          <w:rFonts w:hint="eastAsia"/>
        </w:rPr>
        <w:t>3年，我局严格按照市财政局全面预算绩效管理的相关要求开展部门绩效管理，及时进行绩效信息汇总分析、绩效目标纠偏工作。4月，组织了16个区司法局对2022年度北京市司法行政系统中央政法纪检监察转移支付资金开展了绩效自评，并汇总形成市级自评报告上报司法部；编制了2023年度北京市司法行政系统中央政法纪检监察转移支付资金目标表报司法部备案。4月-5月，对我局2023年度设定绩效目标的57个项目全部开展了绩效评价，其中56个项目为单位自评，2020-2022年度行政审批系统项目为部门评价，同步开展了部门整体绩效评价，形成自评表、项目绩效评价报告、部门整体绩效评价报告等成果上报市财政局。6月-8月，选择北京市司法局国家统一法律职业资格考试北京考区防控费用开展了</w:t>
      </w:r>
      <w:r>
        <w:t>成本预算绩效分析</w:t>
      </w:r>
      <w:r>
        <w:rPr>
          <w:rFonts w:hint="eastAsia"/>
        </w:rPr>
        <w:t>，形成分析报告上报市财政局。8月，对2</w:t>
      </w:r>
      <w:r>
        <w:t>02</w:t>
      </w:r>
      <w:r>
        <w:rPr>
          <w:rFonts w:hint="eastAsia"/>
        </w:rPr>
        <w:t>3年部门预算涉及的48个项目在1-6月份的预算执行和绩效目标实现程度开展绩效监控分析，形成监控报告、监控汇总表上报市财政局。1</w:t>
      </w:r>
      <w:r>
        <w:t>0</w:t>
      </w:r>
      <w:r>
        <w:rPr>
          <w:rFonts w:hint="eastAsia"/>
        </w:rPr>
        <w:t>月-</w:t>
      </w:r>
      <w:r>
        <w:t>11</w:t>
      </w:r>
      <w:r>
        <w:rPr>
          <w:rFonts w:hint="eastAsia"/>
        </w:rPr>
        <w:t>月，梳理我局拟申报的2</w:t>
      </w:r>
      <w:r>
        <w:t>02</w:t>
      </w:r>
      <w:r>
        <w:rPr>
          <w:rFonts w:hint="eastAsia"/>
        </w:rPr>
        <w:t>3年度部门预算项目，编制了项目申报书、绩效目标申报表等资料，并对新增项目2024年度信息化系统商用密码应用改造与评估建设项目开展了事前绩效评估，形成了事前绩效评估报告，申报文本及评估报告随部门预算上报市财政局。</w:t>
      </w:r>
    </w:p>
    <w:p>
      <w:pPr>
        <w:pStyle w:val="19"/>
      </w:pPr>
      <w:r>
        <w:rPr>
          <w:rFonts w:hint="eastAsia"/>
        </w:rPr>
        <w:t>（四）结转结余率</w:t>
      </w:r>
    </w:p>
    <w:p>
      <w:pPr>
        <w:pStyle w:val="20"/>
      </w:pPr>
      <w:r>
        <w:rPr>
          <w:rFonts w:hint="eastAsia"/>
        </w:rPr>
        <w:t>截至2</w:t>
      </w:r>
      <w:r>
        <w:t>02</w:t>
      </w:r>
      <w:r>
        <w:rPr>
          <w:rFonts w:hint="eastAsia"/>
        </w:rPr>
        <w:t>3年底，我局支出预算</w:t>
      </w:r>
      <w:r>
        <w:t>21027</w:t>
      </w:r>
      <w:r>
        <w:rPr>
          <w:rFonts w:hint="eastAsia"/>
        </w:rPr>
        <w:t>.</w:t>
      </w:r>
      <w:r>
        <w:t>85</w:t>
      </w:r>
      <w:r>
        <w:rPr>
          <w:rFonts w:hint="eastAsia"/>
        </w:rPr>
        <w:t>万元，结转结余总额</w:t>
      </w:r>
      <w:r>
        <w:t>1557</w:t>
      </w:r>
      <w:r>
        <w:rPr>
          <w:rFonts w:hint="eastAsia"/>
        </w:rPr>
        <w:t>.</w:t>
      </w:r>
      <w:r>
        <w:t>9</w:t>
      </w:r>
      <w:r>
        <w:rPr>
          <w:rFonts w:hint="eastAsia"/>
        </w:rPr>
        <w:t>8万元，2</w:t>
      </w:r>
      <w:r>
        <w:t>02</w:t>
      </w:r>
      <w:r>
        <w:rPr>
          <w:rFonts w:hint="eastAsia"/>
        </w:rPr>
        <w:t>3年结转结余率</w:t>
      </w:r>
      <w:r>
        <w:t>6.87%</w:t>
      </w:r>
      <w:r>
        <w:rPr>
          <w:rFonts w:hint="eastAsia"/>
        </w:rPr>
        <w:t>，其中财政拨款结转结余</w:t>
      </w:r>
      <w:r>
        <w:t>920</w:t>
      </w:r>
      <w:r>
        <w:rPr>
          <w:rFonts w:hint="eastAsia"/>
        </w:rPr>
        <w:t>.</w:t>
      </w:r>
      <w:r>
        <w:t>1</w:t>
      </w:r>
      <w:r>
        <w:rPr>
          <w:rFonts w:hint="eastAsia"/>
        </w:rPr>
        <w:t>1万元，2023年财政拨款结转结余率</w:t>
      </w:r>
      <w:r>
        <w:t>4.20%</w:t>
      </w:r>
      <w:r>
        <w:rPr>
          <w:rFonts w:hint="eastAsia"/>
        </w:rPr>
        <w:t>。2</w:t>
      </w:r>
      <w:r>
        <w:t>02</w:t>
      </w:r>
      <w:r>
        <w:rPr>
          <w:rFonts w:hint="eastAsia"/>
        </w:rPr>
        <w:t>3年相较2</w:t>
      </w:r>
      <w:r>
        <w:t>02</w:t>
      </w:r>
      <w:r>
        <w:rPr>
          <w:rFonts w:hint="eastAsia"/>
        </w:rPr>
        <w:t>2年部门结转结余率（</w:t>
      </w:r>
      <w:r>
        <w:t>7.28%</w:t>
      </w:r>
      <w:r>
        <w:rPr>
          <w:rFonts w:hint="eastAsia"/>
        </w:rPr>
        <w:t>）及财政拨款结转结余率（</w:t>
      </w:r>
      <w:r>
        <w:t>4.58%</w:t>
      </w:r>
      <w:r>
        <w:rPr>
          <w:rFonts w:hint="eastAsia"/>
        </w:rPr>
        <w:t>）均有所下降。</w:t>
      </w:r>
    </w:p>
    <w:p>
      <w:pPr>
        <w:pStyle w:val="19"/>
      </w:pPr>
      <w:r>
        <w:rPr>
          <w:rFonts w:hint="eastAsia"/>
        </w:rPr>
        <w:t>（五）部门</w:t>
      </w:r>
      <w:r>
        <w:t>预决算差异率</w:t>
      </w:r>
    </w:p>
    <w:p>
      <w:pPr>
        <w:pStyle w:val="21"/>
      </w:pPr>
      <w:r>
        <w:rPr>
          <w:rFonts w:hint="eastAsia"/>
        </w:rPr>
        <w:t>2</w:t>
      </w:r>
      <w:r>
        <w:t>02</w:t>
      </w:r>
      <w:r>
        <w:rPr>
          <w:rFonts w:hint="eastAsia"/>
        </w:rPr>
        <w:t>3年，我局年初收入预算总数为</w:t>
      </w:r>
      <w:r>
        <w:t>22080</w:t>
      </w:r>
      <w:r>
        <w:rPr>
          <w:rFonts w:hint="eastAsia"/>
        </w:rPr>
        <w:t>.</w:t>
      </w:r>
      <w:r>
        <w:t>13</w:t>
      </w:r>
      <w:r>
        <w:rPr>
          <w:rFonts w:hint="eastAsia"/>
        </w:rPr>
        <w:t>万元，收入决算总数为</w:t>
      </w:r>
      <w:r>
        <w:t>22585</w:t>
      </w:r>
      <w:r>
        <w:rPr>
          <w:rFonts w:hint="eastAsia"/>
        </w:rPr>
        <w:t>.</w:t>
      </w:r>
      <w:r>
        <w:t>83</w:t>
      </w:r>
      <w:r>
        <w:rPr>
          <w:rFonts w:hint="eastAsia"/>
        </w:rPr>
        <w:t>万元，收入的预决算差异率为2.29%；年初支出预算总数为</w:t>
      </w:r>
      <w:r>
        <w:t>22080</w:t>
      </w:r>
      <w:r>
        <w:rPr>
          <w:rFonts w:hint="eastAsia"/>
        </w:rPr>
        <w:t>.</w:t>
      </w:r>
      <w:r>
        <w:t>13</w:t>
      </w:r>
      <w:r>
        <w:rPr>
          <w:rFonts w:hint="eastAsia"/>
        </w:rPr>
        <w:t>万元，实际支出</w:t>
      </w:r>
      <w:r>
        <w:t>21027</w:t>
      </w:r>
      <w:r>
        <w:rPr>
          <w:rFonts w:hint="eastAsia"/>
        </w:rPr>
        <w:t>.</w:t>
      </w:r>
      <w:r>
        <w:t>85</w:t>
      </w:r>
      <w:r>
        <w:rPr>
          <w:rFonts w:hint="eastAsia"/>
        </w:rPr>
        <w:t>万元，支出的预决算差异率为4.77%。均低于市级平均差异率（28.3%）。</w:t>
      </w:r>
      <w:r>
        <w:tab/>
      </w:r>
    </w:p>
    <w:p>
      <w:pPr>
        <w:pStyle w:val="18"/>
      </w:pPr>
      <w:r>
        <w:rPr>
          <w:rFonts w:hint="eastAsia"/>
        </w:rPr>
        <w:t>五、总体</w:t>
      </w:r>
      <w:r>
        <w:t>评价结论</w:t>
      </w:r>
    </w:p>
    <w:p>
      <w:pPr>
        <w:pStyle w:val="19"/>
      </w:pPr>
      <w:r>
        <w:rPr>
          <w:rFonts w:hint="eastAsia"/>
        </w:rPr>
        <w:t>（一）评价</w:t>
      </w:r>
      <w:r>
        <w:t>得分</w:t>
      </w:r>
      <w:r>
        <w:rPr>
          <w:rFonts w:hint="eastAsia"/>
        </w:rPr>
        <w:t>情况</w:t>
      </w:r>
    </w:p>
    <w:p>
      <w:pPr>
        <w:pStyle w:val="21"/>
      </w:pPr>
      <w:r>
        <w:rPr>
          <w:rFonts w:hint="eastAsia"/>
        </w:rPr>
        <w:t>2023年，在市委市政府和司法部的坚强领导下,我局坚持以习近平新时代中国特色社会主义思想为指导，全面贯彻落实党的二十大精神，深入学习贯彻习近平法治思想，紧紧围绕“工作质量提升年”这一目标，有效履行统筹依法治市、行政立法、行政执法、刑事执行、公共法律服务、涉外法治建设等各项职能，结合年度工作目标有序开展了各项工作，年度工作任务完成情况较好，扎实推进了新时代司法行政工作现代化，为首都高质量发展提供坚强有力法治保障。部门整体综合评价得分</w:t>
      </w:r>
      <w:r>
        <w:t>92.</w:t>
      </w:r>
      <w:r>
        <w:rPr>
          <w:rFonts w:hint="eastAsia"/>
        </w:rPr>
        <w:t>86分，</w:t>
      </w:r>
      <w:r>
        <w:t>具体得分情况见</w:t>
      </w:r>
      <w:r>
        <w:rPr>
          <w:rFonts w:hint="eastAsia"/>
        </w:rPr>
        <w:t>表3</w:t>
      </w:r>
      <w:r>
        <w:t>。</w:t>
      </w:r>
    </w:p>
    <w:p>
      <w:pPr>
        <w:adjustRightInd w:val="0"/>
        <w:snapToGrid w:val="0"/>
        <w:spacing w:line="560" w:lineRule="exact"/>
        <w:jc w:val="center"/>
        <w:rPr>
          <w:rFonts w:ascii="黑体" w:hAnsi="黑体" w:eastAsia="黑体"/>
          <w:sz w:val="28"/>
          <w:szCs w:val="28"/>
        </w:rPr>
      </w:pPr>
      <w:r>
        <w:rPr>
          <w:rFonts w:hint="eastAsia" w:ascii="黑体" w:hAnsi="黑体" w:eastAsia="黑体"/>
          <w:sz w:val="28"/>
          <w:szCs w:val="28"/>
        </w:rPr>
        <w:t>表3：综合评价得分情况表</w:t>
      </w:r>
    </w:p>
    <w:tbl>
      <w:tblPr>
        <w:tblStyle w:val="9"/>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126"/>
        <w:gridCol w:w="155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689" w:type="dxa"/>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一级指标</w:t>
            </w:r>
          </w:p>
        </w:tc>
        <w:tc>
          <w:tcPr>
            <w:tcW w:w="2126" w:type="dxa"/>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二级指标</w:t>
            </w:r>
          </w:p>
        </w:tc>
        <w:tc>
          <w:tcPr>
            <w:tcW w:w="1559" w:type="dxa"/>
            <w:shd w:val="clear" w:color="auto" w:fill="auto"/>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1701" w:type="dxa"/>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w:t>
            </w:r>
          </w:p>
        </w:tc>
        <w:tc>
          <w:tcPr>
            <w:tcW w:w="2126" w:type="dxa"/>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20</w:t>
            </w:r>
          </w:p>
        </w:tc>
        <w:tc>
          <w:tcPr>
            <w:tcW w:w="1701" w:type="dxa"/>
            <w:vAlign w:val="center"/>
          </w:tcPr>
          <w:p>
            <w:pPr>
              <w:widowControl/>
              <w:adjustRightInd w:val="0"/>
              <w:snapToGrid w:val="0"/>
              <w:jc w:val="center"/>
              <w:rPr>
                <w:color w:val="000000"/>
                <w:sz w:val="20"/>
                <w:szCs w:val="20"/>
              </w:rPr>
            </w:pPr>
            <w:r>
              <w:rPr>
                <w:color w:val="000000"/>
                <w:sz w:val="20"/>
                <w:szCs w:val="20"/>
              </w:rPr>
              <w:t>18.56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restart"/>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w:t>
            </w:r>
          </w:p>
        </w:tc>
        <w:tc>
          <w:tcPr>
            <w:tcW w:w="2126" w:type="dxa"/>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60</w:t>
            </w:r>
          </w:p>
        </w:tc>
        <w:tc>
          <w:tcPr>
            <w:tcW w:w="1701" w:type="dxa"/>
            <w:vAlign w:val="center"/>
          </w:tcPr>
          <w:p>
            <w:pPr>
              <w:widowControl/>
              <w:adjustRightInd w:val="0"/>
              <w:snapToGrid w:val="0"/>
              <w:jc w:val="center"/>
              <w:rPr>
                <w:color w:val="000000"/>
                <w:sz w:val="20"/>
                <w:szCs w:val="20"/>
              </w:rPr>
            </w:pPr>
            <w:r>
              <w:rPr>
                <w:color w:val="000000"/>
                <w:sz w:val="20"/>
                <w:szCs w:val="20"/>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产出</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30</w:t>
            </w:r>
          </w:p>
        </w:tc>
        <w:tc>
          <w:tcPr>
            <w:tcW w:w="1701" w:type="dxa"/>
            <w:vAlign w:val="center"/>
          </w:tcPr>
          <w:p>
            <w:pPr>
              <w:widowControl/>
              <w:adjustRightInd w:val="0"/>
              <w:snapToGrid w:val="0"/>
              <w:jc w:val="center"/>
              <w:rPr>
                <w:color w:val="000000"/>
                <w:sz w:val="20"/>
                <w:szCs w:val="20"/>
              </w:rPr>
            </w:pPr>
            <w:r>
              <w:rPr>
                <w:color w:val="000000"/>
                <w:sz w:val="20"/>
                <w:szCs w:val="20"/>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效果</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30</w:t>
            </w:r>
          </w:p>
        </w:tc>
        <w:tc>
          <w:tcPr>
            <w:tcW w:w="1701" w:type="dxa"/>
            <w:vAlign w:val="center"/>
          </w:tcPr>
          <w:p>
            <w:pPr>
              <w:widowControl/>
              <w:adjustRightInd w:val="0"/>
              <w:snapToGrid w:val="0"/>
              <w:jc w:val="center"/>
              <w:rPr>
                <w:color w:val="000000"/>
                <w:sz w:val="20"/>
                <w:szCs w:val="20"/>
              </w:rPr>
            </w:pPr>
            <w:r>
              <w:rPr>
                <w:color w:val="000000"/>
                <w:sz w:val="20"/>
                <w:szCs w:val="20"/>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restart"/>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预算管理情况</w:t>
            </w:r>
          </w:p>
        </w:tc>
        <w:tc>
          <w:tcPr>
            <w:tcW w:w="2126" w:type="dxa"/>
            <w:shd w:val="clear" w:color="auto" w:fill="auto"/>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20</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财务管理</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4</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资产管理</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4</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绩效管理</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4</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结转结余率</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4</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89" w:type="dxa"/>
            <w:vMerge w:val="continue"/>
            <w:vAlign w:val="center"/>
          </w:tcPr>
          <w:p>
            <w:pPr>
              <w:widowControl/>
              <w:adjustRightInd w:val="0"/>
              <w:snapToGrid w:val="0"/>
              <w:jc w:val="center"/>
              <w:rPr>
                <w:rFonts w:ascii="宋体" w:hAnsi="宋体" w:cs="宋体"/>
                <w:color w:val="000000"/>
                <w:kern w:val="0"/>
                <w:sz w:val="20"/>
                <w:szCs w:val="20"/>
              </w:rPr>
            </w:pPr>
          </w:p>
        </w:tc>
        <w:tc>
          <w:tcPr>
            <w:tcW w:w="2126" w:type="dxa"/>
            <w:shd w:val="clear" w:color="auto" w:fill="auto"/>
            <w:noWrap/>
            <w:vAlign w:val="center"/>
          </w:tcPr>
          <w:p>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部门预决算差异率</w:t>
            </w:r>
          </w:p>
        </w:tc>
        <w:tc>
          <w:tcPr>
            <w:tcW w:w="1559" w:type="dxa"/>
            <w:shd w:val="clear" w:color="auto" w:fill="auto"/>
            <w:noWrap/>
            <w:vAlign w:val="center"/>
          </w:tcPr>
          <w:p>
            <w:pPr>
              <w:widowControl/>
              <w:adjustRightInd w:val="0"/>
              <w:snapToGrid w:val="0"/>
              <w:jc w:val="center"/>
              <w:rPr>
                <w:color w:val="000000"/>
                <w:sz w:val="20"/>
                <w:szCs w:val="20"/>
              </w:rPr>
            </w:pPr>
            <w:r>
              <w:rPr>
                <w:rFonts w:hint="eastAsia"/>
                <w:color w:val="000000"/>
                <w:sz w:val="20"/>
                <w:szCs w:val="20"/>
              </w:rPr>
              <w:t>4</w:t>
            </w:r>
          </w:p>
        </w:tc>
        <w:tc>
          <w:tcPr>
            <w:tcW w:w="1701" w:type="dxa"/>
            <w:vAlign w:val="center"/>
          </w:tcPr>
          <w:p>
            <w:pPr>
              <w:widowControl/>
              <w:adjustRightInd w:val="0"/>
              <w:snapToGrid w:val="0"/>
              <w:jc w:val="center"/>
              <w:rPr>
                <w:color w:val="000000"/>
                <w:sz w:val="20"/>
                <w:szCs w:val="20"/>
              </w:rPr>
            </w:pPr>
            <w:r>
              <w:rPr>
                <w:rFonts w:hint="eastAsia"/>
                <w:color w:val="00000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815" w:type="dxa"/>
            <w:gridSpan w:val="2"/>
            <w:shd w:val="clear" w:color="auto" w:fill="auto"/>
            <w:noWrap/>
            <w:vAlign w:val="center"/>
          </w:tcPr>
          <w:p>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559" w:type="dxa"/>
            <w:shd w:val="clear" w:color="auto" w:fill="auto"/>
            <w:noWrap/>
            <w:vAlign w:val="center"/>
          </w:tcPr>
          <w:p>
            <w:pPr>
              <w:widowControl/>
              <w:adjustRightInd w:val="0"/>
              <w:snapToGrid w:val="0"/>
              <w:jc w:val="center"/>
              <w:rPr>
                <w:b/>
                <w:bCs/>
                <w:color w:val="000000"/>
                <w:sz w:val="20"/>
                <w:szCs w:val="20"/>
              </w:rPr>
            </w:pPr>
            <w:r>
              <w:rPr>
                <w:rFonts w:hint="eastAsia"/>
                <w:b/>
                <w:bCs/>
                <w:color w:val="000000"/>
                <w:sz w:val="20"/>
                <w:szCs w:val="20"/>
              </w:rPr>
              <w:t>100</w:t>
            </w:r>
          </w:p>
        </w:tc>
        <w:tc>
          <w:tcPr>
            <w:tcW w:w="1701" w:type="dxa"/>
            <w:vAlign w:val="center"/>
          </w:tcPr>
          <w:p>
            <w:pPr>
              <w:widowControl/>
              <w:adjustRightInd w:val="0"/>
              <w:snapToGrid w:val="0"/>
              <w:jc w:val="center"/>
              <w:rPr>
                <w:b/>
                <w:bCs/>
                <w:color w:val="000000"/>
                <w:sz w:val="20"/>
                <w:szCs w:val="20"/>
              </w:rPr>
            </w:pPr>
            <w:r>
              <w:rPr>
                <w:rFonts w:hint="eastAsia"/>
                <w:b/>
                <w:bCs/>
                <w:color w:val="000000"/>
                <w:sz w:val="20"/>
                <w:szCs w:val="20"/>
              </w:rPr>
              <w:t>92.86</w:t>
            </w:r>
          </w:p>
        </w:tc>
      </w:tr>
    </w:tbl>
    <w:p>
      <w:pPr>
        <w:pStyle w:val="19"/>
      </w:pPr>
      <w:r>
        <w:rPr>
          <w:rFonts w:hint="eastAsia"/>
        </w:rPr>
        <w:t>（二）存在的问题及原因分析</w:t>
      </w:r>
    </w:p>
    <w:p>
      <w:pPr>
        <w:pStyle w:val="20"/>
      </w:pPr>
      <w:r>
        <w:rPr>
          <w:rFonts w:hint="eastAsia"/>
        </w:rPr>
        <w:t>1.预算编制精准性有待提升，绩效指标合理性尚有不足</w:t>
      </w:r>
    </w:p>
    <w:p>
      <w:pPr>
        <w:pStyle w:val="21"/>
      </w:pPr>
      <w:r>
        <w:rPr>
          <w:rFonts w:hint="eastAsia"/>
        </w:rPr>
        <w:t>一是部分项目年度需求论证有待加强，一定程度影响预算编制的精准程度，如“执法协调监督工作”项目年初计划制作</w:t>
      </w:r>
      <w:r>
        <w:t>5000</w:t>
      </w:r>
      <w:r>
        <w:rPr>
          <w:rFonts w:hint="eastAsia"/>
        </w:rPr>
        <w:t>套行政执法证件，实际根据现实需求制作了3955套，反映出需求测算有所不足。二是部分项目年初绩效指标设置存在指标内容不够完整或不够合理的情况，如“中国电信4008业务服务”项目绩效指标中三级指标均设置为“达到预期目标”，未进一步明确指标约束内容，未能体现云呼平台坐席数、咨询电话接通率等数量、质量要求。</w:t>
      </w:r>
    </w:p>
    <w:p>
      <w:pPr>
        <w:pStyle w:val="20"/>
      </w:pPr>
      <w:r>
        <w:rPr>
          <w:rFonts w:hint="eastAsia"/>
        </w:rPr>
        <w:t>2.业务管理制度有待完善，合同管理稍显不足</w:t>
      </w:r>
    </w:p>
    <w:p>
      <w:pPr>
        <w:pStyle w:val="21"/>
      </w:pPr>
      <w:r>
        <w:rPr>
          <w:rFonts w:hint="eastAsia"/>
        </w:rPr>
        <w:t>一是部分项目配套业务管理制度有待完善。如“法律援助值班律师补贴”项目，针对工作地点为看守所、检察院、法院法律援助工作站的值班律师有待进一步完善质量监管机制。二是个别项目合同管理有待强化。如“基层司法业务管理工作”项目中，市局与《法制日报》专栏合作协议中，约定乙方应于本合同生效之日起一年内，完成本合同项下的全部工作内容，自双方法定代表人或授权代表签字并加盖双方印章之日起生效，但合同内未填写签订日期。</w:t>
      </w:r>
    </w:p>
    <w:p>
      <w:pPr>
        <w:pStyle w:val="20"/>
      </w:pPr>
      <w:r>
        <w:rPr>
          <w:rFonts w:hint="eastAsia"/>
        </w:rPr>
        <w:t>3</w:t>
      </w:r>
      <w:r>
        <w:t>.</w:t>
      </w:r>
      <w:r>
        <w:rPr>
          <w:rFonts w:hint="eastAsia"/>
        </w:rPr>
        <w:t>个别项目工作完成情况未达预期</w:t>
      </w:r>
    </w:p>
    <w:p>
      <w:pPr>
        <w:pStyle w:val="21"/>
      </w:pPr>
      <w:r>
        <w:rPr>
          <w:rFonts w:hint="eastAsia"/>
        </w:rPr>
        <w:t>由于政策形势变化、年度工作调整、实际需求变化等因素影响，部分项目工作完成情况未达预期，如“矫正帮教业务工作”项目为落实上级临时工作任务，调整了项目内容，未完成社区矫正宣传折页、社区矫正宣传海报的制作与发放工作；“社区矫正综合管理平台升级改造”项目，社区矫正综合管理平台升级改造由于试运行周期延长，竣工验收时间相较计划延后1个月。</w:t>
      </w:r>
      <w:r>
        <w:t xml:space="preserve"> </w:t>
      </w:r>
    </w:p>
    <w:p>
      <w:pPr>
        <w:pStyle w:val="18"/>
        <w:rPr>
          <w:rFonts w:ascii="仿宋_GB2312" w:hAnsi="宋体" w:eastAsia="仿宋_GB2312"/>
        </w:rPr>
      </w:pPr>
      <w:r>
        <w:rPr>
          <w:rFonts w:hint="eastAsia"/>
        </w:rPr>
        <w:t>六、措施建议</w:t>
      </w:r>
    </w:p>
    <w:p>
      <w:pPr>
        <w:pStyle w:val="19"/>
      </w:pPr>
      <w:r>
        <w:rPr>
          <w:rFonts w:hint="eastAsia"/>
        </w:rPr>
        <w:t>（一）加强项目前期论证，提升预算编制精准性</w:t>
      </w:r>
    </w:p>
    <w:p>
      <w:pPr>
        <w:pStyle w:val="21"/>
      </w:pPr>
      <w:r>
        <w:rPr>
          <w:rFonts w:hint="eastAsia"/>
        </w:rPr>
        <w:t>预算申报前期，梳理总结以往年度项目自评发现的问题，结合市财政局关于项目预算编报的最新政策精神，明确本年度项目预算编报要求及方式方法；编报过程中，结合项目实际需求及年度重点工作，充分考虑上年度预算执行情况，据实申报项目预算；基于预算方向合理设置绩效指标内容及指标值，细化量化反映预期产出数量、质量控制标准、工作阶段时效、受益群体满意度标准等考核指标；预算编报结束后，细化项目预算及绩效指标编制审核要求，落实部门负责人对部门内项目预算及绩效指标编制的把关责任，确保项目年度预算编制准确、合理。</w:t>
      </w:r>
    </w:p>
    <w:p>
      <w:pPr>
        <w:pStyle w:val="19"/>
      </w:pPr>
      <w:r>
        <w:rPr>
          <w:rFonts w:hint="eastAsia"/>
        </w:rPr>
        <w:t>（二）加强制度建设及过程管控，提高部门整体管理效率</w:t>
      </w:r>
    </w:p>
    <w:p>
      <w:pPr>
        <w:pStyle w:val="21"/>
      </w:pPr>
      <w:r>
        <w:rPr>
          <w:rFonts w:hint="eastAsia"/>
        </w:rPr>
        <w:t>一是提高业务管理制度健全性，对于常态化实施内容，通过制度化的方式对工作流程、机制、重点要求等内容予以固化和明确，为业务工作的实施、监管、评估提供明确依据。二是强化合同管理，规范合同审核及签订程序，确保合同要素的全面性及有效性。</w:t>
      </w:r>
      <w:r>
        <w:t xml:space="preserve"> </w:t>
      </w:r>
    </w:p>
    <w:p>
      <w:pPr>
        <w:pStyle w:val="19"/>
      </w:pPr>
      <w:r>
        <w:rPr>
          <w:rFonts w:hint="eastAsia"/>
        </w:rPr>
        <w:t>（三）加强预算执行监控，提高资金使用效益</w:t>
      </w:r>
    </w:p>
    <w:p>
      <w:pPr>
        <w:pStyle w:val="21"/>
      </w:pPr>
      <w:r>
        <w:rPr>
          <w:rFonts w:hint="eastAsia"/>
        </w:rPr>
        <w:t>重点关注年中项目预算执行监控结果，对于预算执行与绩效指标完成进度滞后的项目及时纠偏，对于受客观因素或工作计划调整影响支出计划发生调整的项目及时申请预算调整或核减，充分发挥财政资金使用效益。</w:t>
      </w:r>
    </w:p>
    <w:p>
      <w:pPr>
        <w:pStyle w:val="2"/>
        <w:rPr>
          <w:sz w:val="32"/>
          <w:szCs w:val="32"/>
        </w:rPr>
      </w:pPr>
      <w:bookmarkStart w:id="2" w:name="_Toc103006301"/>
      <w:r>
        <w:rPr>
          <w:rFonts w:hint="eastAsia"/>
          <w:sz w:val="32"/>
          <w:szCs w:val="32"/>
        </w:rPr>
        <w:t>七、附件</w:t>
      </w:r>
      <w:bookmarkEnd w:id="2"/>
    </w:p>
    <w:p>
      <w:pPr>
        <w:spacing w:line="600" w:lineRule="exact"/>
        <w:ind w:firstLine="641"/>
        <w:rPr>
          <w:rFonts w:ascii="仿宋_GB2312" w:hAnsi="仿宋_GB2312" w:eastAsia="仿宋_GB2312" w:cs="仿宋_GB2312"/>
          <w:sz w:val="32"/>
          <w:szCs w:val="32"/>
        </w:rPr>
        <w:sectPr>
          <w:footerReference r:id="rId5" w:type="default"/>
          <w:pgSz w:w="11906" w:h="16838"/>
          <w:pgMar w:top="1440" w:right="1800" w:bottom="1440" w:left="1800" w:header="851" w:footer="964" w:gutter="0"/>
          <w:pgNumType w:start="1"/>
          <w:cols w:space="425" w:num="1"/>
          <w:docGrid w:type="lines" w:linePitch="435" w:charSpace="0"/>
        </w:sectPr>
      </w:pPr>
      <w:r>
        <w:rPr>
          <w:rFonts w:hint="eastAsia" w:ascii="仿宋_GB2312" w:hAnsi="仿宋_GB2312" w:eastAsia="仿宋_GB2312" w:cs="仿宋_GB2312"/>
          <w:sz w:val="32"/>
          <w:szCs w:val="32"/>
        </w:rPr>
        <w:t>2023年部门整体绩效评价指标体系评分表</w:t>
      </w:r>
    </w:p>
    <w:p>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p>
    <w:tbl>
      <w:tblPr>
        <w:tblStyle w:val="9"/>
        <w:tblW w:w="52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097"/>
        <w:gridCol w:w="2835"/>
        <w:gridCol w:w="1545"/>
        <w:gridCol w:w="1219"/>
        <w:gridCol w:w="750"/>
        <w:gridCol w:w="824"/>
        <w:gridCol w:w="1889"/>
        <w:gridCol w:w="3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9"/>
            <w:noWrap/>
            <w:vAlign w:val="bottom"/>
          </w:tcPr>
          <w:p>
            <w:pPr>
              <w:widowControl/>
              <w:jc w:val="center"/>
              <w:rPr>
                <w:rFonts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2023年部门整体绩效评价指标体系评分表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w:t>
            </w:r>
            <w:r>
              <w:rPr>
                <w:rFonts w:ascii="宋体" w:hAnsi="宋体" w:cs="宋体"/>
                <w:color w:val="000000"/>
                <w:kern w:val="0"/>
                <w:sz w:val="18"/>
                <w:szCs w:val="18"/>
              </w:rPr>
              <w:t>级指标</w:t>
            </w:r>
            <w:r>
              <w:rPr>
                <w:rFonts w:hint="eastAsia" w:ascii="宋体" w:hAnsi="宋体" w:cs="宋体"/>
                <w:color w:val="000000"/>
                <w:kern w:val="0"/>
                <w:sz w:val="18"/>
                <w:szCs w:val="18"/>
              </w:rPr>
              <w:t>　</w:t>
            </w: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级指标</w:t>
            </w:r>
            <w:r>
              <w:rPr>
                <w:rFonts w:hint="eastAsia" w:ascii="宋体" w:hAnsi="宋体" w:cs="宋体"/>
                <w:color w:val="000000"/>
                <w:kern w:val="0"/>
                <w:sz w:val="18"/>
                <w:szCs w:val="18"/>
              </w:rPr>
              <w:t>　</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预算数（万元）</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执行数（万元）</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预算执行率</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27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637"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指标解释</w:t>
            </w:r>
          </w:p>
        </w:tc>
        <w:tc>
          <w:tcPr>
            <w:tcW w:w="1262"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当年预算执行情况（20）</w:t>
            </w: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资金总体</w:t>
            </w:r>
          </w:p>
        </w:tc>
        <w:tc>
          <w:tcPr>
            <w:tcW w:w="956"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22664.57</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21027.85</w:t>
            </w:r>
          </w:p>
        </w:tc>
        <w:tc>
          <w:tcPr>
            <w:tcW w:w="411"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92.78%</w:t>
            </w:r>
          </w:p>
        </w:tc>
        <w:tc>
          <w:tcPr>
            <w:tcW w:w="253" w:type="pct"/>
            <w:vMerge w:val="restar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275" w:type="pct"/>
            <w:vMerge w:val="restar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18.56</w:t>
            </w:r>
          </w:p>
        </w:tc>
        <w:tc>
          <w:tcPr>
            <w:tcW w:w="637"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262"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基本支出</w:t>
            </w:r>
          </w:p>
        </w:tc>
        <w:tc>
          <w:tcPr>
            <w:tcW w:w="956"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15824.45</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14868.41</w:t>
            </w:r>
          </w:p>
        </w:tc>
        <w:tc>
          <w:tcPr>
            <w:tcW w:w="411"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253" w:type="pct"/>
            <w:vMerge w:val="continue"/>
            <w:vAlign w:val="center"/>
          </w:tcPr>
          <w:p>
            <w:pPr>
              <w:widowControl/>
              <w:jc w:val="left"/>
              <w:rPr>
                <w:rFonts w:ascii="宋体" w:hAnsi="宋体" w:cs="宋体"/>
                <w:color w:val="000000"/>
                <w:kern w:val="0"/>
                <w:sz w:val="18"/>
                <w:szCs w:val="18"/>
              </w:rPr>
            </w:pPr>
          </w:p>
        </w:tc>
        <w:tc>
          <w:tcPr>
            <w:tcW w:w="275" w:type="pct"/>
            <w:vMerge w:val="continue"/>
            <w:vAlign w:val="center"/>
          </w:tcPr>
          <w:p>
            <w:pPr>
              <w:widowControl/>
              <w:jc w:val="left"/>
              <w:rPr>
                <w:rFonts w:ascii="宋体" w:hAnsi="宋体" w:cs="宋体"/>
                <w:color w:val="000000"/>
                <w:kern w:val="0"/>
                <w:sz w:val="18"/>
                <w:szCs w:val="18"/>
              </w:rPr>
            </w:pP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项目支出</w:t>
            </w:r>
          </w:p>
        </w:tc>
        <w:tc>
          <w:tcPr>
            <w:tcW w:w="956"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6840.12</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6159.45</w:t>
            </w:r>
          </w:p>
        </w:tc>
        <w:tc>
          <w:tcPr>
            <w:tcW w:w="411" w:type="pct"/>
            <w:vMerge w:val="continue"/>
            <w:vAlign w:val="center"/>
          </w:tcPr>
          <w:p>
            <w:pPr>
              <w:widowControl/>
              <w:jc w:val="left"/>
              <w:rPr>
                <w:rFonts w:ascii="宋体" w:hAnsi="宋体" w:cs="宋体"/>
                <w:color w:val="000000"/>
                <w:kern w:val="0"/>
                <w:sz w:val="18"/>
                <w:szCs w:val="18"/>
              </w:rPr>
            </w:pPr>
          </w:p>
        </w:tc>
        <w:tc>
          <w:tcPr>
            <w:tcW w:w="253" w:type="pct"/>
            <w:vMerge w:val="continue"/>
            <w:vAlign w:val="center"/>
          </w:tcPr>
          <w:p>
            <w:pPr>
              <w:widowControl/>
              <w:jc w:val="left"/>
              <w:rPr>
                <w:rFonts w:ascii="宋体" w:hAnsi="宋体" w:cs="宋体"/>
                <w:color w:val="000000"/>
                <w:kern w:val="0"/>
                <w:sz w:val="18"/>
                <w:szCs w:val="18"/>
              </w:rPr>
            </w:pPr>
          </w:p>
        </w:tc>
        <w:tc>
          <w:tcPr>
            <w:tcW w:w="275" w:type="pct"/>
            <w:vMerge w:val="continue"/>
            <w:vAlign w:val="center"/>
          </w:tcPr>
          <w:p>
            <w:pPr>
              <w:widowControl/>
              <w:jc w:val="left"/>
              <w:rPr>
                <w:rFonts w:ascii="宋体" w:hAnsi="宋体" w:cs="宋体"/>
                <w:color w:val="000000"/>
                <w:kern w:val="0"/>
                <w:sz w:val="18"/>
                <w:szCs w:val="18"/>
              </w:rPr>
            </w:pP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11" w:type="pct"/>
            <w:vMerge w:val="continue"/>
            <w:vAlign w:val="center"/>
          </w:tcPr>
          <w:p>
            <w:pPr>
              <w:widowControl/>
              <w:jc w:val="left"/>
              <w:rPr>
                <w:rFonts w:ascii="宋体" w:hAnsi="宋体" w:cs="宋体"/>
                <w:color w:val="000000"/>
                <w:kern w:val="0"/>
                <w:sz w:val="18"/>
                <w:szCs w:val="18"/>
              </w:rPr>
            </w:pPr>
          </w:p>
        </w:tc>
        <w:tc>
          <w:tcPr>
            <w:tcW w:w="253" w:type="pct"/>
            <w:vMerge w:val="continue"/>
            <w:vAlign w:val="center"/>
          </w:tcPr>
          <w:p>
            <w:pPr>
              <w:widowControl/>
              <w:jc w:val="left"/>
              <w:rPr>
                <w:rFonts w:ascii="宋体" w:hAnsi="宋体" w:cs="宋体"/>
                <w:color w:val="000000"/>
                <w:kern w:val="0"/>
                <w:sz w:val="18"/>
                <w:szCs w:val="18"/>
              </w:rPr>
            </w:pPr>
          </w:p>
        </w:tc>
        <w:tc>
          <w:tcPr>
            <w:tcW w:w="275" w:type="pct"/>
            <w:vMerge w:val="continue"/>
            <w:vAlign w:val="center"/>
          </w:tcPr>
          <w:p>
            <w:pPr>
              <w:widowControl/>
              <w:jc w:val="left"/>
              <w:rPr>
                <w:rFonts w:ascii="宋体" w:hAnsi="宋体" w:cs="宋体"/>
                <w:color w:val="000000"/>
                <w:kern w:val="0"/>
                <w:sz w:val="18"/>
                <w:szCs w:val="18"/>
              </w:rPr>
            </w:pP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18"/>
                <w:szCs w:val="18"/>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w:t>
            </w:r>
            <w:r>
              <w:rPr>
                <w:rFonts w:ascii="宋体" w:hAnsi="宋体" w:cs="宋体"/>
                <w:color w:val="000000"/>
                <w:kern w:val="0"/>
                <w:sz w:val="18"/>
                <w:szCs w:val="18"/>
              </w:rPr>
              <w:t>级指标</w:t>
            </w: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级指标</w:t>
            </w:r>
            <w:r>
              <w:rPr>
                <w:rFonts w:hint="eastAsia" w:ascii="宋体" w:hAnsi="宋体" w:cs="宋体"/>
                <w:color w:val="000000"/>
                <w:kern w:val="0"/>
                <w:sz w:val="18"/>
                <w:szCs w:val="18"/>
              </w:rPr>
              <w:t>　</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级指标</w:t>
            </w:r>
            <w:r>
              <w:rPr>
                <w:rFonts w:hint="eastAsia" w:ascii="宋体" w:hAnsi="宋体" w:cs="宋体"/>
                <w:color w:val="000000"/>
                <w:kern w:val="0"/>
                <w:sz w:val="18"/>
                <w:szCs w:val="18"/>
              </w:rPr>
              <w:t>　</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指标值</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完成值</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27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637" w:type="pct"/>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2"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整体绩效目标实现情况（60）</w:t>
            </w:r>
          </w:p>
        </w:tc>
        <w:tc>
          <w:tcPr>
            <w:tcW w:w="370" w:type="pct"/>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产出（30）</w:t>
            </w:r>
          </w:p>
        </w:tc>
        <w:tc>
          <w:tcPr>
            <w:tcW w:w="956" w:type="pct"/>
            <w:vAlign w:val="center"/>
          </w:tcPr>
          <w:p>
            <w:pPr>
              <w:rPr>
                <w:rFonts w:ascii="宋体" w:hAnsi="宋体" w:cs="宋体"/>
                <w:color w:val="000000"/>
                <w:kern w:val="0"/>
                <w:sz w:val="18"/>
                <w:szCs w:val="18"/>
              </w:rPr>
            </w:pPr>
            <w:r>
              <w:rPr>
                <w:rFonts w:hint="eastAsia" w:ascii="宋体" w:hAnsi="宋体" w:cs="宋体"/>
                <w:color w:val="000000"/>
                <w:kern w:val="0"/>
                <w:sz w:val="18"/>
                <w:szCs w:val="18"/>
              </w:rPr>
              <w:t>法律职业资格考试：</w:t>
            </w:r>
          </w:p>
          <w:p>
            <w:pPr>
              <w:rPr>
                <w:rFonts w:ascii="宋体" w:hAnsi="宋体" w:cs="宋体"/>
                <w:color w:val="000000"/>
                <w:kern w:val="0"/>
                <w:sz w:val="18"/>
                <w:szCs w:val="18"/>
              </w:rPr>
            </w:pPr>
            <w:r>
              <w:rPr>
                <w:rFonts w:hint="eastAsia" w:ascii="宋体" w:hAnsi="宋体" w:cs="宋体"/>
                <w:color w:val="000000"/>
                <w:kern w:val="0"/>
                <w:sz w:val="18"/>
                <w:szCs w:val="18"/>
              </w:rPr>
              <w:t>配备计算机机位数量（含客观题、客观题）</w:t>
            </w:r>
          </w:p>
          <w:p>
            <w:pPr>
              <w:rPr>
                <w:rFonts w:ascii="宋体" w:hAnsi="宋体" w:cs="宋体"/>
                <w:color w:val="000000"/>
                <w:kern w:val="0"/>
                <w:sz w:val="18"/>
                <w:szCs w:val="18"/>
              </w:rPr>
            </w:pPr>
            <w:r>
              <w:rPr>
                <w:rFonts w:hint="eastAsia" w:ascii="宋体" w:hAnsi="宋体" w:cs="宋体"/>
                <w:color w:val="000000"/>
                <w:kern w:val="0"/>
                <w:sz w:val="18"/>
                <w:szCs w:val="18"/>
              </w:rPr>
              <w:t>4008咨询电话接通率</w:t>
            </w:r>
          </w:p>
          <w:p>
            <w:pPr>
              <w:rPr>
                <w:rFonts w:ascii="宋体" w:hAnsi="宋体" w:cs="宋体"/>
                <w:color w:val="000000"/>
                <w:kern w:val="0"/>
                <w:sz w:val="18"/>
                <w:szCs w:val="18"/>
              </w:rPr>
            </w:pPr>
            <w:r>
              <w:rPr>
                <w:rFonts w:hint="eastAsia" w:ascii="宋体" w:hAnsi="宋体" w:cs="宋体"/>
                <w:color w:val="000000"/>
                <w:kern w:val="0"/>
                <w:sz w:val="18"/>
                <w:szCs w:val="18"/>
              </w:rPr>
              <w:t>法律职业资格申请应审尽审率</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62000</w:t>
            </w:r>
            <w:r>
              <w:rPr>
                <w:rFonts w:hint="eastAsia" w:ascii="宋体" w:hAnsi="宋体" w:cs="宋体"/>
                <w:color w:val="000000"/>
                <w:kern w:val="0"/>
                <w:sz w:val="18"/>
                <w:szCs w:val="18"/>
              </w:rPr>
              <w:t>人次</w:t>
            </w:r>
          </w:p>
          <w:p>
            <w:pPr>
              <w:widowControl/>
              <w:jc w:val="center"/>
              <w:rPr>
                <w:rFonts w:ascii="宋体" w:hAnsi="宋体" w:cs="宋体"/>
                <w:color w:val="000000"/>
                <w:kern w:val="0"/>
                <w:sz w:val="18"/>
                <w:szCs w:val="18"/>
              </w:rPr>
            </w:pPr>
            <w:r>
              <w:rPr>
                <w:rFonts w:ascii="宋体" w:hAnsi="宋体" w:cs="宋体"/>
                <w:color w:val="000000"/>
                <w:kern w:val="0"/>
                <w:sz w:val="18"/>
                <w:szCs w:val="18"/>
              </w:rPr>
              <w:t>80</w:t>
            </w:r>
            <w:r>
              <w:rPr>
                <w:rFonts w:hint="eastAsia" w:ascii="宋体" w:hAnsi="宋体" w:cs="宋体"/>
                <w:color w:val="000000"/>
                <w:kern w:val="0"/>
                <w:sz w:val="18"/>
                <w:szCs w:val="18"/>
              </w:rPr>
              <w:t>%</w:t>
            </w:r>
          </w:p>
          <w:p>
            <w:pPr>
              <w:jc w:val="center"/>
              <w:rPr>
                <w:rFonts w:ascii="宋体" w:hAnsi="宋体" w:cs="宋体"/>
                <w:color w:val="000000"/>
                <w:kern w:val="0"/>
                <w:sz w:val="18"/>
                <w:szCs w:val="18"/>
              </w:rPr>
            </w:pPr>
            <w:r>
              <w:rPr>
                <w:rFonts w:ascii="宋体" w:hAnsi="宋体" w:cs="宋体"/>
                <w:color w:val="000000"/>
                <w:kern w:val="0"/>
                <w:sz w:val="18"/>
                <w:szCs w:val="18"/>
              </w:rPr>
              <w:t>95</w:t>
            </w:r>
            <w:r>
              <w:rPr>
                <w:rFonts w:hint="eastAsia" w:ascii="宋体" w:hAnsi="宋体" w:cs="宋体"/>
                <w:color w:val="000000"/>
                <w:kern w:val="0"/>
                <w:sz w:val="18"/>
                <w:szCs w:val="18"/>
              </w:rPr>
              <w:t>%</w:t>
            </w:r>
          </w:p>
        </w:tc>
        <w:tc>
          <w:tcPr>
            <w:tcW w:w="411" w:type="pct"/>
            <w:vAlign w:val="center"/>
          </w:tcPr>
          <w:p>
            <w:pPr>
              <w:jc w:val="center"/>
              <w:rPr>
                <w:rFonts w:ascii="宋体" w:hAnsi="宋体" w:cs="宋体"/>
                <w:color w:val="000000"/>
                <w:kern w:val="0"/>
                <w:sz w:val="18"/>
                <w:szCs w:val="18"/>
              </w:rPr>
            </w:pPr>
            <w:r>
              <w:rPr>
                <w:rFonts w:ascii="宋体" w:hAnsi="宋体" w:cs="宋体"/>
                <w:color w:val="000000"/>
                <w:kern w:val="0"/>
                <w:sz w:val="18"/>
                <w:szCs w:val="18"/>
              </w:rPr>
              <w:t>85034</w:t>
            </w:r>
            <w:r>
              <w:rPr>
                <w:rFonts w:hint="eastAsia" w:ascii="宋体" w:hAnsi="宋体" w:cs="宋体"/>
                <w:color w:val="000000"/>
                <w:kern w:val="0"/>
                <w:sz w:val="18"/>
                <w:szCs w:val="18"/>
              </w:rPr>
              <w:t>人次</w:t>
            </w:r>
          </w:p>
          <w:p>
            <w:pPr>
              <w:jc w:val="center"/>
              <w:rPr>
                <w:rFonts w:ascii="宋体" w:hAnsi="宋体" w:cs="宋体"/>
                <w:color w:val="000000"/>
                <w:kern w:val="0"/>
                <w:sz w:val="18"/>
                <w:szCs w:val="18"/>
              </w:rPr>
            </w:pPr>
            <w:r>
              <w:rPr>
                <w:rFonts w:hint="eastAsia" w:ascii="宋体" w:hAnsi="宋体" w:cs="宋体"/>
                <w:color w:val="000000"/>
                <w:kern w:val="0"/>
                <w:sz w:val="18"/>
                <w:szCs w:val="18"/>
              </w:rPr>
              <w:t>95%</w:t>
            </w:r>
          </w:p>
          <w:p>
            <w:pPr>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jc w:val="center"/>
              <w:rPr>
                <w:rFonts w:ascii="宋体" w:hAnsi="宋体" w:cs="宋体"/>
                <w:color w:val="000000"/>
                <w:kern w:val="0"/>
                <w:sz w:val="18"/>
                <w:szCs w:val="18"/>
              </w:rPr>
            </w:pPr>
            <w:r>
              <w:rPr>
                <w:rFonts w:ascii="宋体" w:hAnsi="宋体" w:cs="宋体"/>
                <w:color w:val="000000"/>
                <w:kern w:val="0"/>
                <w:sz w:val="18"/>
                <w:szCs w:val="18"/>
              </w:rPr>
              <w:t>2</w:t>
            </w:r>
          </w:p>
        </w:tc>
        <w:tc>
          <w:tcPr>
            <w:tcW w:w="275" w:type="pc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restar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262"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法制建设：</w:t>
            </w:r>
          </w:p>
          <w:p>
            <w:pPr>
              <w:widowControl/>
              <w:rPr>
                <w:rFonts w:ascii="宋体" w:hAnsi="宋体" w:cs="宋体"/>
                <w:color w:val="000000"/>
                <w:kern w:val="0"/>
                <w:sz w:val="18"/>
                <w:szCs w:val="18"/>
              </w:rPr>
            </w:pPr>
            <w:r>
              <w:rPr>
                <w:rFonts w:hint="eastAsia" w:ascii="宋体" w:hAnsi="宋体" w:cs="宋体"/>
                <w:color w:val="000000"/>
                <w:kern w:val="0"/>
                <w:sz w:val="18"/>
                <w:szCs w:val="18"/>
              </w:rPr>
              <w:t>北京市行政执法资格考试人数</w:t>
            </w:r>
          </w:p>
          <w:p>
            <w:pPr>
              <w:widowControl/>
              <w:rPr>
                <w:rFonts w:ascii="宋体" w:hAnsi="宋体" w:cs="宋体"/>
                <w:color w:val="000000"/>
                <w:kern w:val="0"/>
                <w:sz w:val="18"/>
                <w:szCs w:val="18"/>
              </w:rPr>
            </w:pPr>
            <w:r>
              <w:rPr>
                <w:rFonts w:hint="eastAsia" w:ascii="宋体" w:hAnsi="宋体" w:cs="宋体"/>
                <w:color w:val="000000"/>
                <w:kern w:val="0"/>
                <w:sz w:val="18"/>
                <w:szCs w:val="18"/>
              </w:rPr>
              <w:t>开展法治建设业务课题研究数量</w:t>
            </w:r>
          </w:p>
          <w:p>
            <w:pPr>
              <w:widowControl/>
              <w:rPr>
                <w:rFonts w:ascii="宋体" w:hAnsi="宋体" w:cs="宋体"/>
                <w:color w:val="000000"/>
                <w:kern w:val="0"/>
                <w:sz w:val="18"/>
                <w:szCs w:val="18"/>
              </w:rPr>
            </w:pPr>
            <w:r>
              <w:rPr>
                <w:rFonts w:hint="eastAsia" w:ascii="宋体" w:hAnsi="宋体" w:cs="宋体"/>
                <w:color w:val="000000"/>
                <w:kern w:val="0"/>
                <w:sz w:val="18"/>
                <w:szCs w:val="18"/>
              </w:rPr>
              <w:t>组织北京市区政府依法行政社会公众评价调查</w:t>
            </w:r>
          </w:p>
          <w:p>
            <w:pPr>
              <w:widowControl/>
              <w:rPr>
                <w:rFonts w:ascii="宋体" w:hAnsi="宋体" w:cs="宋体"/>
                <w:color w:val="000000"/>
                <w:kern w:val="0"/>
                <w:sz w:val="18"/>
                <w:szCs w:val="18"/>
              </w:rPr>
            </w:pPr>
            <w:r>
              <w:rPr>
                <w:rFonts w:hint="eastAsia" w:ascii="宋体" w:hAnsi="宋体" w:cs="宋体"/>
                <w:color w:val="000000"/>
                <w:kern w:val="0"/>
                <w:sz w:val="18"/>
                <w:szCs w:val="18"/>
              </w:rPr>
              <w:t>立法及规范性文件应审尽审率</w:t>
            </w:r>
          </w:p>
          <w:p>
            <w:pPr>
              <w:widowControl/>
              <w:rPr>
                <w:rFonts w:ascii="宋体" w:hAnsi="宋体" w:cs="宋体"/>
                <w:color w:val="000000"/>
                <w:kern w:val="0"/>
                <w:sz w:val="18"/>
                <w:szCs w:val="18"/>
              </w:rPr>
            </w:pPr>
            <w:r>
              <w:rPr>
                <w:rFonts w:hint="eastAsia" w:ascii="宋体" w:hAnsi="宋体" w:cs="宋体"/>
                <w:color w:val="000000"/>
                <w:kern w:val="0"/>
                <w:sz w:val="18"/>
                <w:szCs w:val="18"/>
              </w:rPr>
              <w:t>行政诉讼案件办理与工作要求相符性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不超过</w:t>
            </w:r>
            <w:r>
              <w:rPr>
                <w:rFonts w:ascii="宋体" w:hAnsi="宋体" w:cs="宋体"/>
                <w:color w:val="000000"/>
                <w:kern w:val="0"/>
                <w:sz w:val="18"/>
                <w:szCs w:val="18"/>
              </w:rPr>
              <w:t>5000</w:t>
            </w:r>
            <w:r>
              <w:rPr>
                <w:rFonts w:hint="eastAsia" w:ascii="宋体" w:hAnsi="宋体" w:cs="宋体"/>
                <w:color w:val="000000"/>
                <w:kern w:val="0"/>
                <w:sz w:val="18"/>
                <w:szCs w:val="18"/>
              </w:rPr>
              <w:t>人</w:t>
            </w:r>
          </w:p>
          <w:p>
            <w:pPr>
              <w:widowControl/>
              <w:jc w:val="center"/>
              <w:rPr>
                <w:rFonts w:ascii="宋体" w:hAnsi="宋体" w:cs="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项</w:t>
            </w:r>
          </w:p>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次</w:t>
            </w:r>
          </w:p>
          <w:p>
            <w:pPr>
              <w:widowControl/>
              <w:jc w:val="center"/>
              <w:rPr>
                <w:rFonts w:ascii="宋体" w:hAnsi="宋体" w:cs="宋体"/>
                <w:color w:val="000000"/>
                <w:kern w:val="0"/>
                <w:sz w:val="18"/>
                <w:szCs w:val="18"/>
              </w:rPr>
            </w:pPr>
            <w:r>
              <w:rPr>
                <w:rFonts w:ascii="宋体" w:hAnsi="宋体" w:cs="宋体"/>
                <w:color w:val="000000"/>
                <w:kern w:val="0"/>
                <w:sz w:val="18"/>
                <w:szCs w:val="18"/>
              </w:rPr>
              <w:t>100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ascii="宋体" w:hAnsi="宋体" w:cs="宋体"/>
                <w:color w:val="000000"/>
                <w:kern w:val="0"/>
                <w:sz w:val="18"/>
                <w:szCs w:val="18"/>
              </w:rPr>
              <w:t>90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3894人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3项</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公共法律服务：</w:t>
            </w:r>
          </w:p>
          <w:p>
            <w:pPr>
              <w:widowControl/>
              <w:rPr>
                <w:rFonts w:ascii="宋体" w:hAnsi="宋体" w:cs="宋体"/>
                <w:color w:val="000000"/>
                <w:kern w:val="0"/>
                <w:sz w:val="18"/>
                <w:szCs w:val="18"/>
              </w:rPr>
            </w:pPr>
            <w:r>
              <w:rPr>
                <w:rFonts w:hint="eastAsia" w:ascii="宋体" w:hAnsi="宋体" w:cs="宋体"/>
                <w:color w:val="000000"/>
                <w:kern w:val="0"/>
                <w:sz w:val="18"/>
                <w:szCs w:val="18"/>
              </w:rPr>
              <w:t>法律援助优秀案例评选</w:t>
            </w:r>
          </w:p>
          <w:p>
            <w:pPr>
              <w:widowControl/>
              <w:rPr>
                <w:rFonts w:ascii="宋体" w:hAnsi="宋体" w:cs="宋体"/>
                <w:color w:val="000000"/>
                <w:kern w:val="0"/>
                <w:sz w:val="18"/>
                <w:szCs w:val="18"/>
              </w:rPr>
            </w:pPr>
            <w:r>
              <w:rPr>
                <w:rFonts w:hint="eastAsia" w:ascii="宋体" w:hAnsi="宋体" w:cs="宋体"/>
                <w:color w:val="000000"/>
                <w:kern w:val="0"/>
                <w:sz w:val="18"/>
                <w:szCs w:val="18"/>
              </w:rPr>
              <w:t>司法鉴定宣传材料（彩色折页、小册子等）保障率</w:t>
            </w:r>
          </w:p>
          <w:p>
            <w:pPr>
              <w:widowControl/>
              <w:rPr>
                <w:rFonts w:ascii="宋体" w:hAnsi="宋体" w:cs="宋体"/>
                <w:color w:val="000000"/>
                <w:kern w:val="0"/>
                <w:sz w:val="18"/>
                <w:szCs w:val="18"/>
              </w:rPr>
            </w:pPr>
            <w:r>
              <w:rPr>
                <w:rFonts w:hint="eastAsia" w:ascii="宋体" w:hAnsi="宋体" w:cs="宋体"/>
                <w:color w:val="000000"/>
                <w:kern w:val="0"/>
                <w:sz w:val="18"/>
                <w:szCs w:val="18"/>
              </w:rPr>
              <w:t>组织全市法律援助案件质量评估</w:t>
            </w:r>
          </w:p>
          <w:p>
            <w:pPr>
              <w:widowControl/>
              <w:rPr>
                <w:rFonts w:ascii="宋体" w:hAnsi="宋体" w:cs="宋体"/>
                <w:color w:val="000000"/>
                <w:kern w:val="0"/>
                <w:sz w:val="18"/>
                <w:szCs w:val="18"/>
              </w:rPr>
            </w:pPr>
            <w:r>
              <w:rPr>
                <w:rFonts w:hint="eastAsia" w:ascii="宋体" w:hAnsi="宋体" w:cs="宋体"/>
                <w:color w:val="000000"/>
                <w:kern w:val="0"/>
                <w:sz w:val="18"/>
                <w:szCs w:val="18"/>
              </w:rPr>
              <w:t>法律援助相关补贴发放工作符合相关办法要求</w:t>
            </w:r>
          </w:p>
          <w:p>
            <w:pPr>
              <w:widowControl/>
              <w:rPr>
                <w:rFonts w:ascii="宋体" w:hAnsi="宋体" w:cs="宋体"/>
                <w:color w:val="000000"/>
                <w:kern w:val="0"/>
                <w:sz w:val="18"/>
                <w:szCs w:val="18"/>
              </w:rPr>
            </w:pPr>
            <w:r>
              <w:rPr>
                <w:rFonts w:hint="eastAsia" w:ascii="宋体" w:hAnsi="宋体" w:cs="宋体"/>
                <w:color w:val="000000"/>
                <w:kern w:val="0"/>
                <w:sz w:val="18"/>
                <w:szCs w:val="18"/>
              </w:rPr>
              <w:t>公共法律服务相关平台保障工作应保尽保率</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次</w:t>
            </w:r>
          </w:p>
          <w:p>
            <w:pPr>
              <w:widowControl/>
              <w:jc w:val="center"/>
              <w:rPr>
                <w:rFonts w:ascii="宋体" w:hAnsi="宋体" w:cs="宋体"/>
                <w:color w:val="000000"/>
                <w:kern w:val="0"/>
                <w:sz w:val="18"/>
                <w:szCs w:val="18"/>
              </w:rPr>
            </w:pPr>
            <w:r>
              <w:rPr>
                <w:rFonts w:ascii="宋体" w:hAnsi="宋体" w:cs="宋体"/>
                <w:color w:val="000000"/>
                <w:kern w:val="0"/>
                <w:sz w:val="18"/>
                <w:szCs w:val="18"/>
              </w:rPr>
              <w:t>95</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符合要求</w:t>
            </w:r>
          </w:p>
          <w:p>
            <w:pPr>
              <w:widowControl/>
              <w:jc w:val="center"/>
              <w:rPr>
                <w:rFonts w:ascii="宋体" w:hAnsi="宋体" w:cs="宋体"/>
                <w:color w:val="000000"/>
                <w:kern w:val="0"/>
                <w:sz w:val="18"/>
                <w:szCs w:val="18"/>
              </w:rPr>
            </w:pPr>
            <w:r>
              <w:rPr>
                <w:rFonts w:ascii="宋体" w:hAnsi="宋体" w:cs="宋体"/>
                <w:color w:val="000000"/>
                <w:kern w:val="0"/>
                <w:sz w:val="18"/>
                <w:szCs w:val="18"/>
              </w:rPr>
              <w:t>99</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符合要求</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后勤保障：</w:t>
            </w:r>
          </w:p>
          <w:p>
            <w:pPr>
              <w:widowControl/>
              <w:rPr>
                <w:rFonts w:ascii="宋体" w:hAnsi="宋体" w:cs="宋体"/>
                <w:color w:val="000000"/>
                <w:kern w:val="0"/>
                <w:sz w:val="18"/>
                <w:szCs w:val="18"/>
              </w:rPr>
            </w:pPr>
            <w:r>
              <w:rPr>
                <w:rFonts w:hint="eastAsia" w:ascii="宋体" w:hAnsi="宋体" w:cs="宋体"/>
                <w:color w:val="000000"/>
                <w:kern w:val="0"/>
                <w:sz w:val="18"/>
                <w:szCs w:val="18"/>
              </w:rPr>
              <w:t>后勤综合服务保障人员数量</w:t>
            </w:r>
          </w:p>
          <w:p>
            <w:pPr>
              <w:widowControl/>
              <w:rPr>
                <w:rFonts w:ascii="宋体" w:hAnsi="宋体" w:cs="宋体"/>
                <w:color w:val="000000"/>
                <w:kern w:val="0"/>
                <w:sz w:val="18"/>
                <w:szCs w:val="18"/>
              </w:rPr>
            </w:pPr>
            <w:r>
              <w:rPr>
                <w:rFonts w:hint="eastAsia" w:ascii="宋体" w:hAnsi="宋体" w:cs="宋体"/>
                <w:color w:val="000000"/>
                <w:kern w:val="0"/>
                <w:sz w:val="18"/>
                <w:szCs w:val="18"/>
              </w:rPr>
              <w:t>指标伙食费标准</w:t>
            </w:r>
          </w:p>
          <w:p>
            <w:pPr>
              <w:widowControl/>
              <w:rPr>
                <w:rFonts w:ascii="宋体" w:hAnsi="宋体" w:cs="宋体"/>
                <w:color w:val="000000"/>
                <w:kern w:val="0"/>
                <w:sz w:val="18"/>
                <w:szCs w:val="18"/>
              </w:rPr>
            </w:pPr>
            <w:r>
              <w:rPr>
                <w:rFonts w:hint="eastAsia" w:ascii="宋体" w:hAnsi="宋体" w:cs="宋体"/>
                <w:color w:val="000000"/>
                <w:kern w:val="0"/>
                <w:sz w:val="18"/>
                <w:szCs w:val="18"/>
              </w:rPr>
              <w:t>后勤综合服务保障率</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412</w:t>
            </w:r>
            <w:r>
              <w:rPr>
                <w:rFonts w:hint="eastAsia" w:ascii="宋体" w:hAnsi="宋体" w:cs="宋体"/>
                <w:color w:val="000000"/>
                <w:kern w:val="0"/>
                <w:sz w:val="18"/>
                <w:szCs w:val="18"/>
              </w:rPr>
              <w:t>人</w:t>
            </w:r>
          </w:p>
          <w:p>
            <w:pPr>
              <w:widowControl/>
              <w:jc w:val="center"/>
              <w:rPr>
                <w:rFonts w:ascii="宋体" w:hAnsi="宋体" w:cs="宋体"/>
                <w:color w:val="000000"/>
                <w:kern w:val="0"/>
                <w:sz w:val="18"/>
                <w:szCs w:val="18"/>
              </w:rPr>
            </w:pPr>
            <w:r>
              <w:rPr>
                <w:rFonts w:ascii="宋体" w:hAnsi="宋体" w:cs="宋体"/>
                <w:color w:val="000000"/>
                <w:kern w:val="0"/>
                <w:sz w:val="18"/>
                <w:szCs w:val="18"/>
              </w:rPr>
              <w:t>840</w:t>
            </w:r>
            <w:r>
              <w:rPr>
                <w:rFonts w:hint="eastAsia" w:ascii="宋体" w:hAnsi="宋体" w:cs="宋体"/>
                <w:color w:val="000000"/>
                <w:kern w:val="0"/>
                <w:sz w:val="18"/>
                <w:szCs w:val="18"/>
              </w:rPr>
              <w:t>元/人*月</w:t>
            </w:r>
          </w:p>
          <w:p>
            <w:pPr>
              <w:widowControl/>
              <w:jc w:val="center"/>
              <w:rPr>
                <w:rFonts w:ascii="宋体" w:hAnsi="宋体" w:cs="宋体"/>
                <w:color w:val="000000"/>
                <w:kern w:val="0"/>
                <w:sz w:val="18"/>
                <w:szCs w:val="18"/>
              </w:rPr>
            </w:pPr>
            <w:r>
              <w:rPr>
                <w:rFonts w:ascii="宋体" w:hAnsi="宋体" w:cs="宋体"/>
                <w:color w:val="000000"/>
                <w:kern w:val="0"/>
                <w:sz w:val="18"/>
                <w:szCs w:val="18"/>
              </w:rPr>
              <w:t>100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387人</w:t>
            </w:r>
          </w:p>
          <w:p>
            <w:pPr>
              <w:widowControl/>
              <w:jc w:val="center"/>
              <w:rPr>
                <w:rFonts w:ascii="宋体" w:hAnsi="宋体" w:cs="宋体"/>
                <w:color w:val="000000"/>
                <w:kern w:val="0"/>
                <w:sz w:val="18"/>
                <w:szCs w:val="18"/>
              </w:rPr>
            </w:pPr>
            <w:r>
              <w:rPr>
                <w:rFonts w:ascii="宋体" w:hAnsi="宋体" w:cs="宋体"/>
                <w:color w:val="000000"/>
                <w:kern w:val="0"/>
                <w:sz w:val="18"/>
                <w:szCs w:val="18"/>
              </w:rPr>
              <w:t>840</w:t>
            </w:r>
            <w:r>
              <w:rPr>
                <w:rFonts w:hint="eastAsia" w:ascii="宋体" w:hAnsi="宋体" w:cs="宋体"/>
                <w:color w:val="000000"/>
                <w:kern w:val="0"/>
                <w:sz w:val="18"/>
                <w:szCs w:val="18"/>
              </w:rPr>
              <w:t>元/人/月</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续上页</w:t>
            </w: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基层司法业务：</w:t>
            </w:r>
          </w:p>
          <w:p>
            <w:pPr>
              <w:widowControl/>
              <w:rPr>
                <w:rFonts w:ascii="宋体" w:hAnsi="宋体" w:cs="宋体"/>
                <w:color w:val="000000"/>
                <w:kern w:val="0"/>
                <w:sz w:val="18"/>
                <w:szCs w:val="18"/>
              </w:rPr>
            </w:pPr>
            <w:r>
              <w:rPr>
                <w:rFonts w:hint="eastAsia" w:ascii="宋体" w:hAnsi="宋体" w:cs="宋体"/>
                <w:color w:val="000000"/>
                <w:kern w:val="0"/>
                <w:sz w:val="18"/>
                <w:szCs w:val="18"/>
              </w:rPr>
              <w:t>举办市司法行政开放日主会场活动</w:t>
            </w:r>
          </w:p>
          <w:p>
            <w:pPr>
              <w:widowControl/>
              <w:rPr>
                <w:rFonts w:ascii="宋体" w:hAnsi="宋体" w:cs="宋体"/>
                <w:color w:val="000000"/>
                <w:kern w:val="0"/>
                <w:sz w:val="18"/>
                <w:szCs w:val="18"/>
              </w:rPr>
            </w:pPr>
            <w:r>
              <w:rPr>
                <w:rFonts w:hint="eastAsia" w:ascii="宋体" w:hAnsi="宋体" w:cs="宋体"/>
                <w:color w:val="000000"/>
                <w:kern w:val="0"/>
                <w:sz w:val="18"/>
                <w:szCs w:val="18"/>
              </w:rPr>
              <w:t>征订《人民调解》杂志</w:t>
            </w:r>
          </w:p>
          <w:p>
            <w:pPr>
              <w:widowControl/>
              <w:rPr>
                <w:rFonts w:ascii="宋体" w:hAnsi="宋体" w:cs="宋体"/>
                <w:color w:val="000000"/>
                <w:kern w:val="0"/>
                <w:sz w:val="18"/>
                <w:szCs w:val="18"/>
              </w:rPr>
            </w:pPr>
            <w:r>
              <w:rPr>
                <w:rFonts w:hint="eastAsia" w:ascii="宋体" w:hAnsi="宋体" w:cs="宋体"/>
                <w:color w:val="000000"/>
                <w:kern w:val="0"/>
                <w:sz w:val="18"/>
                <w:szCs w:val="18"/>
              </w:rPr>
              <w:t>全市人民监督员选任管理工作保障率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2</w:t>
            </w:r>
            <w:r>
              <w:rPr>
                <w:rFonts w:hint="eastAsia" w:ascii="宋体" w:hAnsi="宋体" w:cs="宋体"/>
                <w:color w:val="000000"/>
                <w:kern w:val="0"/>
                <w:sz w:val="18"/>
                <w:szCs w:val="18"/>
              </w:rPr>
              <w:t>期</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5</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1场</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2</w:t>
            </w:r>
            <w:r>
              <w:rPr>
                <w:rFonts w:hint="eastAsia" w:ascii="宋体" w:hAnsi="宋体" w:cs="宋体"/>
                <w:color w:val="000000"/>
                <w:kern w:val="0"/>
                <w:sz w:val="18"/>
                <w:szCs w:val="18"/>
              </w:rPr>
              <w:t>期</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律师公证管理：</w:t>
            </w:r>
          </w:p>
          <w:p>
            <w:pPr>
              <w:widowControl/>
              <w:rPr>
                <w:rFonts w:ascii="宋体" w:hAnsi="宋体" w:cs="宋体"/>
                <w:color w:val="000000"/>
                <w:kern w:val="0"/>
                <w:sz w:val="18"/>
                <w:szCs w:val="18"/>
              </w:rPr>
            </w:pPr>
            <w:r>
              <w:rPr>
                <w:rFonts w:hint="eastAsia" w:ascii="宋体" w:hAnsi="宋体" w:cs="宋体"/>
                <w:color w:val="000000"/>
                <w:kern w:val="0"/>
                <w:sz w:val="18"/>
                <w:szCs w:val="18"/>
              </w:rPr>
              <w:t>开展公证员系列专业技术职称评审工作</w:t>
            </w:r>
          </w:p>
          <w:p>
            <w:pPr>
              <w:widowControl/>
              <w:rPr>
                <w:rFonts w:ascii="宋体" w:hAnsi="宋体" w:cs="宋体"/>
                <w:color w:val="000000"/>
                <w:kern w:val="0"/>
                <w:sz w:val="18"/>
                <w:szCs w:val="18"/>
              </w:rPr>
            </w:pPr>
            <w:r>
              <w:rPr>
                <w:rFonts w:hint="eastAsia" w:ascii="宋体" w:hAnsi="宋体" w:cs="宋体"/>
                <w:color w:val="000000"/>
                <w:kern w:val="0"/>
                <w:sz w:val="18"/>
                <w:szCs w:val="18"/>
              </w:rPr>
              <w:t>组织全市公证质量检测活动</w:t>
            </w:r>
          </w:p>
          <w:p>
            <w:pPr>
              <w:widowControl/>
              <w:rPr>
                <w:rFonts w:ascii="宋体" w:hAnsi="宋体" w:cs="宋体"/>
                <w:color w:val="000000"/>
                <w:kern w:val="0"/>
                <w:sz w:val="18"/>
                <w:szCs w:val="18"/>
              </w:rPr>
            </w:pPr>
            <w:r>
              <w:rPr>
                <w:rFonts w:hint="eastAsia" w:ascii="宋体" w:hAnsi="宋体" w:cs="宋体"/>
                <w:color w:val="000000"/>
                <w:kern w:val="0"/>
                <w:sz w:val="18"/>
                <w:szCs w:val="18"/>
              </w:rPr>
              <w:t>律师培训参与度</w:t>
            </w:r>
          </w:p>
          <w:p>
            <w:pPr>
              <w:widowControl/>
              <w:rPr>
                <w:rFonts w:ascii="宋体" w:hAnsi="宋体" w:cs="宋体"/>
                <w:color w:val="000000"/>
                <w:kern w:val="0"/>
                <w:sz w:val="18"/>
                <w:szCs w:val="18"/>
              </w:rPr>
            </w:pPr>
            <w:r>
              <w:rPr>
                <w:rFonts w:hint="eastAsia" w:ascii="宋体" w:hAnsi="宋体" w:cs="宋体"/>
                <w:color w:val="000000"/>
                <w:kern w:val="0"/>
                <w:sz w:val="18"/>
                <w:szCs w:val="18"/>
              </w:rPr>
              <w:t>信访投诉、行政处罚执法办案应保尽保率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5</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ascii="宋体" w:hAnsi="宋体" w:cs="宋体"/>
                <w:color w:val="000000"/>
                <w:kern w:val="0"/>
                <w:sz w:val="18"/>
                <w:szCs w:val="18"/>
              </w:rPr>
              <w:t>95%</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普法宣传：</w:t>
            </w:r>
          </w:p>
          <w:p>
            <w:pPr>
              <w:widowControl/>
              <w:rPr>
                <w:rFonts w:ascii="宋体" w:hAnsi="宋体" w:cs="宋体"/>
                <w:color w:val="000000"/>
                <w:kern w:val="0"/>
                <w:sz w:val="18"/>
                <w:szCs w:val="18"/>
              </w:rPr>
            </w:pPr>
            <w:r>
              <w:rPr>
                <w:rFonts w:hint="eastAsia" w:ascii="宋体" w:hAnsi="宋体" w:cs="宋体"/>
                <w:color w:val="000000"/>
                <w:kern w:val="0"/>
                <w:sz w:val="18"/>
                <w:szCs w:val="18"/>
              </w:rPr>
              <w:t>公民法制素养评估调查报告</w:t>
            </w:r>
          </w:p>
          <w:p>
            <w:pPr>
              <w:widowControl/>
              <w:rPr>
                <w:rFonts w:ascii="宋体" w:hAnsi="宋体" w:cs="宋体"/>
                <w:color w:val="000000"/>
                <w:kern w:val="0"/>
                <w:sz w:val="18"/>
                <w:szCs w:val="18"/>
              </w:rPr>
            </w:pPr>
            <w:r>
              <w:rPr>
                <w:rFonts w:hint="eastAsia" w:ascii="宋体" w:hAnsi="宋体" w:cs="宋体"/>
                <w:color w:val="000000"/>
                <w:kern w:val="0"/>
                <w:sz w:val="18"/>
                <w:szCs w:val="18"/>
              </w:rPr>
              <w:t>国家机关普法责任制履职报告评议</w:t>
            </w:r>
          </w:p>
          <w:p>
            <w:pPr>
              <w:widowControl/>
              <w:rPr>
                <w:rFonts w:ascii="宋体" w:hAnsi="宋体" w:cs="宋体"/>
                <w:color w:val="000000"/>
                <w:kern w:val="0"/>
                <w:sz w:val="18"/>
                <w:szCs w:val="18"/>
              </w:rPr>
            </w:pPr>
            <w:r>
              <w:rPr>
                <w:rFonts w:hint="eastAsia" w:ascii="宋体" w:hAnsi="宋体" w:cs="宋体"/>
                <w:color w:val="000000"/>
                <w:kern w:val="0"/>
                <w:sz w:val="18"/>
                <w:szCs w:val="18"/>
              </w:rPr>
              <w:t>各类宣传工作实际覆盖面、宣传信息发布频次与计划相符率</w:t>
            </w:r>
          </w:p>
          <w:p>
            <w:pPr>
              <w:widowControl/>
              <w:rPr>
                <w:rFonts w:ascii="宋体" w:hAnsi="宋体" w:cs="宋体"/>
                <w:color w:val="000000"/>
                <w:kern w:val="0"/>
                <w:sz w:val="18"/>
                <w:szCs w:val="18"/>
              </w:rPr>
            </w:pPr>
            <w:r>
              <w:rPr>
                <w:rFonts w:hint="eastAsia" w:ascii="宋体" w:hAnsi="宋体" w:cs="宋体"/>
                <w:color w:val="000000"/>
                <w:kern w:val="0"/>
                <w:sz w:val="18"/>
                <w:szCs w:val="18"/>
              </w:rPr>
              <w:t>舆情应对和处置的信息基础保障率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1份</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1份</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90%</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续上页</w:t>
            </w: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社区矫正：</w:t>
            </w:r>
          </w:p>
          <w:p>
            <w:pPr>
              <w:widowControl/>
              <w:rPr>
                <w:rFonts w:ascii="宋体" w:hAnsi="宋体" w:cs="宋体"/>
                <w:color w:val="000000"/>
                <w:kern w:val="0"/>
                <w:sz w:val="18"/>
                <w:szCs w:val="18"/>
              </w:rPr>
            </w:pPr>
            <w:r>
              <w:rPr>
                <w:rFonts w:hint="eastAsia" w:ascii="宋体" w:hAnsi="宋体" w:cs="宋体"/>
                <w:color w:val="000000"/>
                <w:kern w:val="0"/>
                <w:sz w:val="18"/>
                <w:szCs w:val="18"/>
              </w:rPr>
              <w:t>推进社区矫正综合管理平台升级改造</w:t>
            </w:r>
          </w:p>
          <w:p>
            <w:pPr>
              <w:widowControl/>
              <w:rPr>
                <w:rFonts w:ascii="宋体" w:hAnsi="宋体" w:cs="宋体"/>
                <w:color w:val="000000"/>
                <w:kern w:val="0"/>
                <w:sz w:val="18"/>
                <w:szCs w:val="18"/>
              </w:rPr>
            </w:pPr>
            <w:r>
              <w:rPr>
                <w:rFonts w:hint="eastAsia" w:ascii="宋体" w:hAnsi="宋体" w:cs="宋体"/>
                <w:color w:val="000000"/>
                <w:kern w:val="0"/>
                <w:sz w:val="18"/>
                <w:szCs w:val="18"/>
              </w:rPr>
              <w:t>举办社区矫正主题宣传</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效果较好</w:t>
            </w:r>
          </w:p>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场</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效果较好</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1场</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center"/>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司法综合事务：</w:t>
            </w:r>
          </w:p>
          <w:p>
            <w:pPr>
              <w:widowControl/>
              <w:rPr>
                <w:rFonts w:ascii="宋体" w:hAnsi="宋体" w:cs="宋体"/>
                <w:color w:val="000000"/>
                <w:kern w:val="0"/>
                <w:sz w:val="18"/>
                <w:szCs w:val="18"/>
              </w:rPr>
            </w:pPr>
            <w:r>
              <w:rPr>
                <w:rFonts w:hint="eastAsia" w:ascii="宋体" w:hAnsi="宋体" w:cs="宋体"/>
                <w:color w:val="000000"/>
                <w:kern w:val="0"/>
                <w:sz w:val="18"/>
                <w:szCs w:val="18"/>
              </w:rPr>
              <w:t>聘请法律顾问团队数</w:t>
            </w:r>
          </w:p>
          <w:p>
            <w:pPr>
              <w:widowControl/>
              <w:rPr>
                <w:rFonts w:ascii="宋体" w:hAnsi="宋体" w:cs="宋体"/>
                <w:color w:val="000000"/>
                <w:kern w:val="0"/>
                <w:sz w:val="18"/>
                <w:szCs w:val="18"/>
              </w:rPr>
            </w:pPr>
            <w:r>
              <w:rPr>
                <w:rFonts w:hint="eastAsia" w:ascii="宋体" w:hAnsi="宋体" w:cs="宋体"/>
                <w:color w:val="000000"/>
                <w:kern w:val="0"/>
                <w:sz w:val="18"/>
                <w:szCs w:val="18"/>
              </w:rPr>
              <w:t>围绕司法行政业务组织系统内专业队伍技能培训</w:t>
            </w:r>
          </w:p>
          <w:p>
            <w:pPr>
              <w:widowControl/>
              <w:rPr>
                <w:rFonts w:ascii="宋体" w:hAnsi="宋体" w:cs="宋体"/>
                <w:color w:val="000000"/>
                <w:kern w:val="0"/>
                <w:sz w:val="18"/>
                <w:szCs w:val="18"/>
              </w:rPr>
            </w:pPr>
            <w:r>
              <w:rPr>
                <w:rFonts w:hint="eastAsia" w:ascii="宋体" w:hAnsi="宋体" w:cs="宋体"/>
                <w:color w:val="000000"/>
                <w:kern w:val="0"/>
                <w:sz w:val="18"/>
                <w:szCs w:val="18"/>
              </w:rPr>
              <w:t>业务装备设备更新购置批次</w:t>
            </w:r>
          </w:p>
          <w:p>
            <w:pPr>
              <w:widowControl/>
              <w:rPr>
                <w:rFonts w:ascii="宋体" w:hAnsi="宋体" w:cs="宋体"/>
                <w:color w:val="000000"/>
                <w:kern w:val="0"/>
                <w:sz w:val="18"/>
                <w:szCs w:val="18"/>
              </w:rPr>
            </w:pPr>
            <w:r>
              <w:rPr>
                <w:rFonts w:hint="eastAsia" w:ascii="宋体" w:hAnsi="宋体" w:cs="宋体"/>
                <w:color w:val="000000"/>
                <w:kern w:val="0"/>
                <w:sz w:val="18"/>
                <w:szCs w:val="18"/>
              </w:rPr>
              <w:t>组织开展基层党委巡察</w:t>
            </w:r>
          </w:p>
          <w:p>
            <w:pPr>
              <w:widowControl/>
              <w:rPr>
                <w:rFonts w:ascii="宋体" w:hAnsi="宋体" w:cs="宋体"/>
                <w:color w:val="000000"/>
                <w:kern w:val="0"/>
                <w:sz w:val="18"/>
                <w:szCs w:val="18"/>
              </w:rPr>
            </w:pPr>
            <w:r>
              <w:rPr>
                <w:rFonts w:hint="eastAsia" w:ascii="宋体" w:hAnsi="宋体" w:cs="宋体"/>
                <w:color w:val="000000"/>
                <w:kern w:val="0"/>
                <w:sz w:val="18"/>
                <w:szCs w:val="18"/>
              </w:rPr>
              <w:t>审计评审评估评价等司法相关事务应保尽保率</w:t>
            </w:r>
          </w:p>
        </w:tc>
        <w:tc>
          <w:tcPr>
            <w:tcW w:w="51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个</w:t>
            </w:r>
          </w:p>
          <w:p>
            <w:pPr>
              <w:widowControl/>
              <w:jc w:val="center"/>
              <w:rPr>
                <w:rFonts w:ascii="宋体" w:hAnsi="宋体" w:cs="宋体"/>
                <w:color w:val="000000"/>
                <w:kern w:val="0"/>
                <w:sz w:val="18"/>
                <w:szCs w:val="18"/>
              </w:rPr>
            </w:pPr>
            <w:r>
              <w:rPr>
                <w:rFonts w:ascii="宋体" w:hAnsi="宋体" w:cs="宋体"/>
                <w:color w:val="000000"/>
                <w:kern w:val="0"/>
                <w:sz w:val="18"/>
                <w:szCs w:val="18"/>
              </w:rPr>
              <w:t>13</w:t>
            </w:r>
            <w:r>
              <w:rPr>
                <w:rFonts w:hint="eastAsia" w:ascii="宋体" w:hAnsi="宋体" w:cs="宋体"/>
                <w:color w:val="000000"/>
                <w:kern w:val="0"/>
                <w:sz w:val="18"/>
                <w:szCs w:val="18"/>
              </w:rPr>
              <w:t>批次</w:t>
            </w:r>
          </w:p>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个</w:t>
            </w:r>
          </w:p>
          <w:p>
            <w:pPr>
              <w:widowControl/>
              <w:jc w:val="center"/>
              <w:rPr>
                <w:rFonts w:ascii="宋体" w:hAnsi="宋体" w:cs="宋体"/>
                <w:color w:val="000000"/>
                <w:kern w:val="0"/>
                <w:sz w:val="18"/>
                <w:szCs w:val="18"/>
              </w:rPr>
            </w:pPr>
            <w:r>
              <w:rPr>
                <w:rFonts w:ascii="宋体" w:hAnsi="宋体" w:cs="宋体"/>
                <w:color w:val="000000"/>
                <w:kern w:val="0"/>
                <w:sz w:val="18"/>
                <w:szCs w:val="18"/>
              </w:rPr>
              <w:t>4</w:t>
            </w:r>
            <w:r>
              <w:rPr>
                <w:rFonts w:hint="eastAsia" w:ascii="宋体" w:hAnsi="宋体" w:cs="宋体"/>
                <w:color w:val="000000"/>
                <w:kern w:val="0"/>
                <w:sz w:val="18"/>
                <w:szCs w:val="18"/>
              </w:rPr>
              <w:t>次</w:t>
            </w:r>
          </w:p>
          <w:p>
            <w:pPr>
              <w:widowControl/>
              <w:jc w:val="center"/>
              <w:rPr>
                <w:rFonts w:ascii="宋体" w:hAnsi="宋体" w:cs="宋体"/>
                <w:color w:val="000000"/>
                <w:kern w:val="0"/>
                <w:sz w:val="18"/>
                <w:szCs w:val="18"/>
              </w:rPr>
            </w:pPr>
            <w:r>
              <w:rPr>
                <w:rFonts w:ascii="宋体" w:hAnsi="宋体" w:cs="宋体"/>
                <w:color w:val="000000"/>
                <w:kern w:val="0"/>
                <w:sz w:val="18"/>
                <w:szCs w:val="18"/>
              </w:rPr>
              <w:t>95</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1个</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13批次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1批次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4次</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center"/>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信息化建设：</w:t>
            </w:r>
          </w:p>
          <w:p>
            <w:pPr>
              <w:widowControl/>
              <w:rPr>
                <w:rFonts w:ascii="宋体" w:hAnsi="宋体" w:cs="宋体"/>
                <w:color w:val="000000"/>
                <w:kern w:val="0"/>
                <w:sz w:val="18"/>
                <w:szCs w:val="18"/>
              </w:rPr>
            </w:pPr>
            <w:r>
              <w:rPr>
                <w:rFonts w:hint="eastAsia" w:ascii="宋体" w:hAnsi="宋体" w:cs="宋体"/>
                <w:color w:val="000000"/>
                <w:kern w:val="0"/>
                <w:sz w:val="18"/>
                <w:szCs w:val="18"/>
              </w:rPr>
              <w:t>系统故障响应及时率</w:t>
            </w:r>
          </w:p>
          <w:p>
            <w:pPr>
              <w:widowControl/>
              <w:rPr>
                <w:rFonts w:ascii="宋体" w:hAnsi="宋体" w:cs="宋体"/>
                <w:color w:val="000000"/>
                <w:kern w:val="0"/>
                <w:sz w:val="18"/>
                <w:szCs w:val="18"/>
              </w:rPr>
            </w:pPr>
            <w:r>
              <w:rPr>
                <w:rFonts w:hint="eastAsia" w:ascii="宋体" w:hAnsi="宋体" w:cs="宋体"/>
                <w:color w:val="000000"/>
                <w:kern w:val="0"/>
                <w:sz w:val="18"/>
                <w:szCs w:val="18"/>
              </w:rPr>
              <w:t>保障系统内信息化系统数量</w:t>
            </w:r>
          </w:p>
          <w:p>
            <w:pPr>
              <w:widowControl/>
              <w:rPr>
                <w:rFonts w:ascii="宋体" w:hAnsi="宋体" w:cs="宋体"/>
                <w:color w:val="000000"/>
                <w:kern w:val="0"/>
                <w:sz w:val="18"/>
                <w:szCs w:val="18"/>
              </w:rPr>
            </w:pPr>
            <w:r>
              <w:rPr>
                <w:rFonts w:hint="eastAsia" w:ascii="宋体" w:hAnsi="宋体" w:cs="宋体"/>
                <w:color w:val="000000"/>
                <w:kern w:val="0"/>
                <w:sz w:val="18"/>
                <w:szCs w:val="18"/>
              </w:rPr>
              <w:t>故障响应及排除率</w:t>
            </w:r>
          </w:p>
          <w:p>
            <w:pPr>
              <w:widowControl/>
              <w:rPr>
                <w:rFonts w:ascii="宋体" w:hAnsi="宋体" w:cs="宋体"/>
                <w:color w:val="000000"/>
                <w:kern w:val="0"/>
                <w:sz w:val="18"/>
                <w:szCs w:val="18"/>
              </w:rPr>
            </w:pPr>
            <w:r>
              <w:rPr>
                <w:rFonts w:hint="eastAsia" w:ascii="宋体" w:hAnsi="宋体" w:cs="宋体"/>
                <w:color w:val="000000"/>
                <w:kern w:val="0"/>
                <w:sz w:val="18"/>
                <w:szCs w:val="18"/>
              </w:rPr>
              <w:t>系统内各类网络联通及正常运行率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2</w:t>
            </w:r>
            <w:r>
              <w:rPr>
                <w:rFonts w:hint="eastAsia" w:ascii="宋体" w:hAnsi="宋体" w:cs="宋体"/>
                <w:color w:val="000000"/>
                <w:kern w:val="0"/>
                <w:sz w:val="18"/>
                <w:szCs w:val="18"/>
              </w:rPr>
              <w:t>套</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9</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9</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2</w:t>
            </w:r>
            <w:r>
              <w:rPr>
                <w:rFonts w:hint="eastAsia" w:ascii="宋体" w:hAnsi="宋体" w:cs="宋体"/>
                <w:color w:val="000000"/>
                <w:kern w:val="0"/>
                <w:sz w:val="18"/>
                <w:szCs w:val="18"/>
              </w:rPr>
              <w:t>套</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99%</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center"/>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各项工作完成及时性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按时完成</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绝大部分工作按时完成</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4.5</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center"/>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部门运行成本：</w:t>
            </w:r>
          </w:p>
          <w:p>
            <w:pPr>
              <w:widowControl/>
              <w:rPr>
                <w:rFonts w:ascii="宋体" w:hAnsi="宋体" w:cs="宋体"/>
                <w:color w:val="000000"/>
                <w:kern w:val="0"/>
                <w:sz w:val="18"/>
                <w:szCs w:val="18"/>
              </w:rPr>
            </w:pPr>
            <w:r>
              <w:rPr>
                <w:rFonts w:hint="eastAsia" w:ascii="宋体" w:hAnsi="宋体" w:cs="宋体"/>
                <w:color w:val="000000"/>
                <w:kern w:val="0"/>
                <w:sz w:val="18"/>
                <w:szCs w:val="18"/>
              </w:rPr>
              <w:t>部门整体运行成本较上年度增加量；</w:t>
            </w:r>
          </w:p>
          <w:p>
            <w:pPr>
              <w:widowControl/>
              <w:rPr>
                <w:rFonts w:ascii="宋体" w:hAnsi="宋体" w:cs="宋体"/>
                <w:color w:val="000000"/>
                <w:kern w:val="0"/>
                <w:sz w:val="18"/>
                <w:szCs w:val="18"/>
              </w:rPr>
            </w:pPr>
            <w:r>
              <w:rPr>
                <w:rFonts w:hint="eastAsia" w:ascii="宋体" w:hAnsi="宋体" w:cs="宋体"/>
                <w:color w:val="000000"/>
                <w:kern w:val="0"/>
                <w:sz w:val="18"/>
                <w:szCs w:val="18"/>
              </w:rPr>
              <w:t>单项成本不高于市场价格的比例；</w:t>
            </w:r>
          </w:p>
          <w:p>
            <w:pPr>
              <w:widowControl/>
              <w:rPr>
                <w:rFonts w:ascii="宋体" w:hAnsi="宋体" w:cs="宋体"/>
                <w:color w:val="000000"/>
                <w:kern w:val="0"/>
                <w:sz w:val="18"/>
                <w:szCs w:val="18"/>
              </w:rPr>
            </w:pPr>
            <w:r>
              <w:rPr>
                <w:rFonts w:hint="eastAsia" w:ascii="宋体" w:hAnsi="宋体" w:cs="宋体"/>
                <w:color w:val="000000"/>
                <w:kern w:val="0"/>
                <w:sz w:val="18"/>
                <w:szCs w:val="18"/>
              </w:rPr>
              <w:t>公用经费超支率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增长率不超过1</w:t>
            </w:r>
            <w:r>
              <w:rPr>
                <w:rFonts w:ascii="宋体" w:hAnsi="宋体" w:cs="宋体"/>
                <w:color w:val="000000"/>
                <w:kern w:val="0"/>
                <w:sz w:val="18"/>
                <w:szCs w:val="18"/>
              </w:rPr>
              <w:t>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p>
            <w:pPr>
              <w:widowControl/>
              <w:jc w:val="center"/>
              <w:rPr>
                <w:rFonts w:ascii="宋体" w:hAnsi="宋体" w:cs="宋体"/>
                <w:color w:val="000000"/>
                <w:kern w:val="0"/>
                <w:sz w:val="18"/>
                <w:szCs w:val="18"/>
              </w:rPr>
            </w:pPr>
            <w:r>
              <w:rPr>
                <w:rFonts w:ascii="宋体" w:hAnsi="宋体" w:cs="宋体"/>
                <w:color w:val="000000"/>
                <w:kern w:val="0"/>
                <w:sz w:val="18"/>
                <w:szCs w:val="18"/>
              </w:rPr>
              <w:t>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降低8.50%</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r>
              <w:rPr>
                <w:rFonts w:hint="eastAsia" w:ascii="宋体" w:hAnsi="宋体" w:cs="宋体"/>
                <w:color w:val="000000"/>
                <w:kern w:val="0"/>
                <w:sz w:val="18"/>
                <w:szCs w:val="18"/>
              </w:rPr>
              <w:t>%</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效果（30）</w:t>
            </w: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经济效益：</w:t>
            </w:r>
          </w:p>
          <w:p>
            <w:pPr>
              <w:widowControl/>
              <w:rPr>
                <w:rFonts w:ascii="宋体" w:hAnsi="宋体" w:cs="宋体"/>
                <w:color w:val="000000"/>
                <w:kern w:val="0"/>
                <w:sz w:val="18"/>
                <w:szCs w:val="18"/>
              </w:rPr>
            </w:pPr>
            <w:r>
              <w:rPr>
                <w:rFonts w:hint="eastAsia" w:ascii="宋体" w:hAnsi="宋体" w:cs="宋体"/>
                <w:color w:val="000000"/>
                <w:kern w:val="0"/>
                <w:sz w:val="18"/>
                <w:szCs w:val="18"/>
              </w:rPr>
              <w:t>为受援人挽回大量经济损失</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超过1</w:t>
            </w:r>
            <w:r>
              <w:rPr>
                <w:rFonts w:ascii="宋体" w:hAnsi="宋体" w:cs="宋体"/>
                <w:color w:val="000000"/>
                <w:kern w:val="0"/>
                <w:sz w:val="18"/>
                <w:szCs w:val="18"/>
              </w:rPr>
              <w:t>700</w:t>
            </w:r>
            <w:r>
              <w:rPr>
                <w:rFonts w:hint="eastAsia" w:ascii="宋体" w:hAnsi="宋体" w:cs="宋体"/>
                <w:color w:val="000000"/>
                <w:kern w:val="0"/>
                <w:sz w:val="18"/>
                <w:szCs w:val="18"/>
              </w:rPr>
              <w:t>万元　</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6298万元</w:t>
            </w:r>
          </w:p>
        </w:tc>
        <w:tc>
          <w:tcPr>
            <w:tcW w:w="253"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637" w:type="pct"/>
            <w:vMerge w:val="restar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262"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社会效益：</w:t>
            </w:r>
          </w:p>
          <w:p>
            <w:pPr>
              <w:widowControl/>
              <w:rPr>
                <w:rFonts w:ascii="宋体" w:hAnsi="宋体" w:cs="宋体"/>
                <w:color w:val="000000"/>
                <w:kern w:val="0"/>
                <w:sz w:val="18"/>
                <w:szCs w:val="18"/>
              </w:rPr>
            </w:pPr>
            <w:r>
              <w:rPr>
                <w:rFonts w:hint="eastAsia" w:ascii="宋体" w:hAnsi="宋体" w:cs="宋体"/>
                <w:color w:val="000000"/>
                <w:kern w:val="0"/>
                <w:sz w:val="18"/>
                <w:szCs w:val="18"/>
              </w:rPr>
              <w:t>推进首都法治建设，维护首都安全稳定；</w:t>
            </w:r>
          </w:p>
          <w:p>
            <w:pPr>
              <w:widowControl/>
              <w:rPr>
                <w:rFonts w:ascii="宋体" w:hAnsi="宋体" w:cs="宋体"/>
                <w:color w:val="000000"/>
                <w:kern w:val="0"/>
                <w:sz w:val="18"/>
                <w:szCs w:val="18"/>
              </w:rPr>
            </w:pPr>
            <w:r>
              <w:rPr>
                <w:rFonts w:hint="eastAsia" w:ascii="宋体" w:hAnsi="宋体" w:cs="宋体"/>
                <w:color w:val="000000"/>
                <w:kern w:val="0"/>
                <w:sz w:val="18"/>
                <w:szCs w:val="18"/>
              </w:rPr>
              <w:t>增强市民法治意识，提高地区法制化水平；</w:t>
            </w:r>
          </w:p>
          <w:p>
            <w:pPr>
              <w:widowControl/>
              <w:rPr>
                <w:rFonts w:ascii="宋体" w:hAnsi="宋体" w:cs="宋体"/>
                <w:color w:val="000000"/>
                <w:kern w:val="0"/>
                <w:sz w:val="18"/>
                <w:szCs w:val="18"/>
              </w:rPr>
            </w:pPr>
            <w:r>
              <w:rPr>
                <w:rFonts w:hint="eastAsia" w:ascii="宋体" w:hAnsi="宋体" w:cs="宋体"/>
                <w:color w:val="000000"/>
                <w:kern w:val="0"/>
                <w:sz w:val="18"/>
                <w:szCs w:val="18"/>
              </w:rPr>
              <w:t>完善便民法律服务，维护群众利益诉求</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效果显著</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r>
              <w:rPr>
                <w:rFonts w:ascii="宋体" w:hAnsi="宋体" w:cs="宋体"/>
                <w:color w:val="000000"/>
                <w:kern w:val="0"/>
                <w:sz w:val="18"/>
                <w:szCs w:val="18"/>
              </w:rPr>
              <w:t>.</w:t>
            </w:r>
            <w:r>
              <w:rPr>
                <w:rFonts w:hint="eastAsia" w:ascii="宋体" w:hAnsi="宋体" w:cs="宋体"/>
                <w:color w:val="000000"/>
                <w:kern w:val="0"/>
                <w:sz w:val="18"/>
                <w:szCs w:val="18"/>
              </w:rPr>
              <w:t>5</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可持续影响：</w:t>
            </w:r>
          </w:p>
          <w:p>
            <w:pPr>
              <w:widowControl/>
              <w:rPr>
                <w:rFonts w:ascii="宋体" w:hAnsi="宋体" w:cs="宋体"/>
                <w:color w:val="000000"/>
                <w:kern w:val="0"/>
                <w:sz w:val="18"/>
                <w:szCs w:val="18"/>
              </w:rPr>
            </w:pPr>
            <w:r>
              <w:rPr>
                <w:rFonts w:hint="eastAsia" w:ascii="宋体" w:hAnsi="宋体" w:cs="宋体"/>
                <w:color w:val="000000"/>
                <w:kern w:val="0"/>
                <w:sz w:val="18"/>
                <w:szCs w:val="18"/>
              </w:rPr>
              <w:t>持续深化司法行政领域改革，推进重点改革任务落实落地</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效果显著</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r>
              <w:rPr>
                <w:rFonts w:ascii="宋体" w:hAnsi="宋体" w:cs="宋体"/>
                <w:color w:val="000000"/>
                <w:kern w:val="0"/>
                <w:sz w:val="18"/>
                <w:szCs w:val="18"/>
              </w:rPr>
              <w:t>.</w:t>
            </w:r>
            <w:r>
              <w:rPr>
                <w:rFonts w:hint="eastAsia" w:ascii="宋体" w:hAnsi="宋体" w:cs="宋体"/>
                <w:color w:val="000000"/>
                <w:kern w:val="0"/>
                <w:sz w:val="18"/>
                <w:szCs w:val="18"/>
              </w:rPr>
              <w:t>5</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服务对象满意度指标：</w:t>
            </w:r>
          </w:p>
          <w:p>
            <w:pPr>
              <w:widowControl/>
              <w:rPr>
                <w:rFonts w:ascii="宋体" w:hAnsi="宋体" w:cs="宋体"/>
                <w:color w:val="000000"/>
                <w:kern w:val="0"/>
                <w:sz w:val="18"/>
                <w:szCs w:val="18"/>
              </w:rPr>
            </w:pPr>
            <w:r>
              <w:rPr>
                <w:rFonts w:hint="eastAsia" w:ascii="宋体" w:hAnsi="宋体" w:cs="宋体"/>
                <w:color w:val="000000"/>
                <w:kern w:val="0"/>
                <w:sz w:val="18"/>
                <w:szCs w:val="18"/>
              </w:rPr>
              <w:t>公证质量检查及公证员评审工作被投诉率</w:t>
            </w:r>
          </w:p>
          <w:p>
            <w:pPr>
              <w:widowControl/>
              <w:rPr>
                <w:rFonts w:ascii="宋体" w:hAnsi="宋体" w:cs="宋体"/>
                <w:color w:val="000000"/>
                <w:kern w:val="0"/>
                <w:sz w:val="18"/>
                <w:szCs w:val="18"/>
              </w:rPr>
            </w:pPr>
            <w:r>
              <w:rPr>
                <w:rFonts w:hint="eastAsia" w:ascii="宋体" w:hAnsi="宋体" w:cs="宋体"/>
                <w:color w:val="000000"/>
                <w:kern w:val="0"/>
                <w:sz w:val="18"/>
                <w:szCs w:val="18"/>
              </w:rPr>
              <w:t>社会公众对普法宣传工作的满意度</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不超过5%</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大于9</w:t>
            </w:r>
            <w:r>
              <w:rPr>
                <w:rFonts w:ascii="宋体" w:hAnsi="宋体" w:cs="宋体"/>
                <w:color w:val="000000"/>
                <w:kern w:val="0"/>
                <w:sz w:val="18"/>
                <w:szCs w:val="18"/>
              </w:rPr>
              <w:t>0</w:t>
            </w:r>
            <w:r>
              <w:rPr>
                <w:rFonts w:hint="eastAsia" w:ascii="宋体" w:hAnsi="宋体" w:cs="宋体"/>
                <w:color w:val="000000"/>
                <w:kern w:val="0"/>
                <w:sz w:val="18"/>
                <w:szCs w:val="18"/>
              </w:rPr>
              <w:t>%</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未超过5%</w:t>
            </w:r>
          </w:p>
          <w:p>
            <w:pPr>
              <w:widowControl/>
              <w:jc w:val="center"/>
              <w:rPr>
                <w:rFonts w:ascii="宋体" w:hAnsi="宋体" w:cs="宋体"/>
                <w:color w:val="000000"/>
                <w:kern w:val="0"/>
                <w:sz w:val="18"/>
                <w:szCs w:val="18"/>
              </w:rPr>
            </w:pPr>
            <w:r>
              <w:rPr>
                <w:rFonts w:ascii="宋体" w:hAnsi="宋体" w:cs="宋体"/>
                <w:color w:val="000000"/>
                <w:kern w:val="0"/>
                <w:sz w:val="18"/>
                <w:szCs w:val="18"/>
              </w:rPr>
              <w:t>95%</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637" w:type="pct"/>
            <w:vMerge w:val="continue"/>
            <w:vAlign w:val="center"/>
          </w:tcPr>
          <w:p>
            <w:pPr>
              <w:widowControl/>
              <w:jc w:val="left"/>
              <w:rPr>
                <w:rFonts w:ascii="宋体" w:hAnsi="宋体" w:cs="宋体"/>
                <w:color w:val="000000"/>
                <w:kern w:val="0"/>
                <w:sz w:val="18"/>
                <w:szCs w:val="18"/>
              </w:rPr>
            </w:pPr>
          </w:p>
        </w:tc>
        <w:tc>
          <w:tcPr>
            <w:tcW w:w="1262"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18"/>
                <w:szCs w:val="18"/>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一</w:t>
            </w:r>
            <w:r>
              <w:rPr>
                <w:rFonts w:ascii="宋体" w:hAnsi="宋体" w:cs="宋体"/>
                <w:color w:val="000000"/>
                <w:kern w:val="0"/>
                <w:sz w:val="18"/>
                <w:szCs w:val="18"/>
              </w:rPr>
              <w:t>级指标</w:t>
            </w: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级指标</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级指标</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值</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完成</w:t>
            </w:r>
            <w:r>
              <w:rPr>
                <w:rFonts w:ascii="宋体" w:hAnsi="宋体" w:cs="宋体"/>
                <w:color w:val="000000"/>
                <w:kern w:val="0"/>
                <w:sz w:val="18"/>
                <w:szCs w:val="18"/>
              </w:rPr>
              <w:t>值</w:t>
            </w:r>
          </w:p>
        </w:tc>
        <w:tc>
          <w:tcPr>
            <w:tcW w:w="253"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w:t>
            </w:r>
            <w:r>
              <w:rPr>
                <w:rFonts w:ascii="宋体" w:hAnsi="宋体" w:cs="宋体"/>
                <w:color w:val="000000"/>
                <w:kern w:val="0"/>
                <w:sz w:val="18"/>
                <w:szCs w:val="18"/>
              </w:rPr>
              <w:t>值</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w:t>
            </w:r>
            <w:r>
              <w:rPr>
                <w:rFonts w:ascii="宋体" w:hAnsi="宋体" w:cs="宋体"/>
                <w:color w:val="000000"/>
                <w:kern w:val="0"/>
                <w:sz w:val="18"/>
                <w:szCs w:val="18"/>
              </w:rPr>
              <w:t>分</w:t>
            </w:r>
          </w:p>
        </w:tc>
        <w:tc>
          <w:tcPr>
            <w:tcW w:w="637" w:type="pct"/>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2"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预算管理情况（20）</w:t>
            </w:r>
          </w:p>
        </w:tc>
        <w:tc>
          <w:tcPr>
            <w:tcW w:w="370" w:type="pct"/>
            <w:vMerge w:val="restar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财务管理（4）</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财务管理制度健全性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健全</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637"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资金使用合规性和安全性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符合相关要求</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Merge w:val="continue"/>
            <w:vAlign w:val="center"/>
          </w:tcPr>
          <w:p>
            <w:pPr>
              <w:widowControl/>
              <w:jc w:val="left"/>
              <w:rPr>
                <w:rFonts w:ascii="宋体" w:hAnsi="宋体" w:cs="宋体"/>
                <w:color w:val="000000"/>
                <w:kern w:val="0"/>
                <w:sz w:val="18"/>
                <w:szCs w:val="18"/>
              </w:rPr>
            </w:pP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会计基础信息完善性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真实、完整、准确</w:t>
            </w:r>
          </w:p>
        </w:tc>
        <w:tc>
          <w:tcPr>
            <w:tcW w:w="411"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75" w:type="pct"/>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637"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资产管理（4）</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资产管理规范性</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规范</w:t>
            </w:r>
          </w:p>
        </w:tc>
        <w:tc>
          <w:tcPr>
            <w:tcW w:w="411"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达成年度指标</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7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637"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绩效管理（4）</w:t>
            </w:r>
          </w:p>
        </w:tc>
        <w:tc>
          <w:tcPr>
            <w:tcW w:w="956"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绩效管理情况</w:t>
            </w:r>
          </w:p>
        </w:tc>
        <w:tc>
          <w:tcPr>
            <w:tcW w:w="51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符合相关要求</w:t>
            </w:r>
          </w:p>
        </w:tc>
        <w:tc>
          <w:tcPr>
            <w:tcW w:w="411"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按要求开展了各项绩效管理工作，但绩效监控仍需加强</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7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637"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指标　</w:t>
            </w:r>
          </w:p>
        </w:tc>
        <w:tc>
          <w:tcPr>
            <w:tcW w:w="1477" w:type="pct"/>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2022年</w:t>
            </w:r>
          </w:p>
        </w:tc>
        <w:tc>
          <w:tcPr>
            <w:tcW w:w="40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2023年</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27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634" w:type="pct"/>
            <w:vAlign w:val="center"/>
          </w:tcPr>
          <w:p>
            <w:pPr>
              <w:widowControl/>
              <w:jc w:val="center"/>
              <w:rPr>
                <w:rFonts w:ascii="宋体" w:hAnsi="宋体" w:cs="宋体"/>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62" w:type="pct"/>
            <w:vAlign w:val="center"/>
          </w:tcPr>
          <w:p>
            <w:pPr>
              <w:widowControl/>
              <w:jc w:val="center"/>
              <w:rPr>
                <w:rFonts w:ascii="宋体" w:hAnsi="宋体"/>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结转结余率（4）</w:t>
            </w:r>
          </w:p>
        </w:tc>
        <w:tc>
          <w:tcPr>
            <w:tcW w:w="1477" w:type="pct"/>
            <w:gridSpan w:val="2"/>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4.58%</w:t>
            </w:r>
          </w:p>
        </w:tc>
        <w:tc>
          <w:tcPr>
            <w:tcW w:w="40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4.20%</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7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634"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8" w:type="pct"/>
            <w:vMerge w:val="continue"/>
            <w:vAlign w:val="center"/>
          </w:tcPr>
          <w:p>
            <w:pPr>
              <w:widowControl/>
              <w:jc w:val="left"/>
              <w:rPr>
                <w:rFonts w:ascii="宋体" w:hAnsi="宋体" w:cs="宋体"/>
                <w:color w:val="000000"/>
                <w:kern w:val="0"/>
                <w:sz w:val="18"/>
                <w:szCs w:val="18"/>
              </w:rPr>
            </w:pPr>
          </w:p>
        </w:tc>
        <w:tc>
          <w:tcPr>
            <w:tcW w:w="370" w:type="pct"/>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部门预决算差异率（4）</w:t>
            </w:r>
          </w:p>
        </w:tc>
        <w:tc>
          <w:tcPr>
            <w:tcW w:w="1477" w:type="pct"/>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408" w:type="pct"/>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2.29%</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7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634"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262"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73" w:type="pct"/>
            <w:gridSpan w:val="5"/>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合计</w:t>
            </w:r>
          </w:p>
        </w:tc>
        <w:tc>
          <w:tcPr>
            <w:tcW w:w="253"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278"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2.</w:t>
            </w:r>
            <w:r>
              <w:rPr>
                <w:rFonts w:hint="eastAsia" w:ascii="宋体" w:hAnsi="宋体" w:cs="宋体"/>
                <w:color w:val="000000"/>
                <w:kern w:val="0"/>
                <w:sz w:val="18"/>
                <w:szCs w:val="18"/>
              </w:rPr>
              <w:t>86</w:t>
            </w:r>
          </w:p>
        </w:tc>
        <w:tc>
          <w:tcPr>
            <w:tcW w:w="1896" w:type="pct"/>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560" w:lineRule="exact"/>
        <w:jc w:val="left"/>
        <w:rPr>
          <w:rFonts w:ascii="方正黑体_GBK" w:hAnsi="方正黑体_GBK" w:eastAsia="方正黑体_GBK" w:cs="方正黑体_GBK"/>
          <w:sz w:val="32"/>
        </w:rPr>
      </w:pPr>
    </w:p>
    <w:p>
      <w:pPr>
        <w:spacing w:line="20" w:lineRule="exact"/>
        <w:rPr>
          <w:rFonts w:ascii="方正小标宋简体" w:eastAsia="方正小标宋简体"/>
          <w:sz w:val="36"/>
          <w:szCs w:val="36"/>
        </w:rPr>
      </w:pPr>
    </w:p>
    <w:sectPr>
      <w:footerReference r:id="rId6"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rPr>
        <w:sz w:val="21"/>
        <w:szCs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7515761" name="文本框 4375157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gwprwxcCAAAXBAAADgAAAAAA&#10;AAABACAAAAAfAQAAZHJzL2Uyb0RvYy54bWxQSwUGAAAAAAYABgBZAQAAq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7"/>
      </w:pPr>
      <w:r>
        <w:rPr>
          <w:rStyle w:val="13"/>
        </w:rPr>
        <w:footnoteRef/>
      </w:r>
      <w:r>
        <w:t xml:space="preserve"> </w:t>
      </w:r>
      <w:r>
        <w:rPr>
          <w:rFonts w:hint="eastAsia"/>
        </w:rPr>
        <w:t>因支出数以万元为单位保留两位小数，因此基本支出、项目支出以及资金总体支出数之间存在0.01万元的尾差。后文同此。</w:t>
      </w:r>
    </w:p>
  </w:footnote>
  <w:footnote w:id="1">
    <w:p>
      <w:pPr>
        <w:pStyle w:val="7"/>
      </w:pPr>
      <w:r>
        <w:rPr>
          <w:rStyle w:val="13"/>
        </w:rPr>
        <w:footnoteRef/>
      </w:r>
      <w:r>
        <w:t xml:space="preserve"> </w:t>
      </w:r>
      <w:r>
        <w:rPr>
          <w:rFonts w:hint="eastAsia"/>
        </w:rPr>
        <w:t>因保留小数，存在尾差。</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31A6D"/>
    <w:rsid w:val="00090AA3"/>
    <w:rsid w:val="000A62C4"/>
    <w:rsid w:val="000B47BE"/>
    <w:rsid w:val="000B7987"/>
    <w:rsid w:val="00146030"/>
    <w:rsid w:val="001771A7"/>
    <w:rsid w:val="001B7BC2"/>
    <w:rsid w:val="001C601C"/>
    <w:rsid w:val="001D1DAC"/>
    <w:rsid w:val="001F3B5E"/>
    <w:rsid w:val="00206CA4"/>
    <w:rsid w:val="002103AE"/>
    <w:rsid w:val="0024698E"/>
    <w:rsid w:val="00246B41"/>
    <w:rsid w:val="00247724"/>
    <w:rsid w:val="00285486"/>
    <w:rsid w:val="0029737F"/>
    <w:rsid w:val="002E6F24"/>
    <w:rsid w:val="003027FE"/>
    <w:rsid w:val="003043C3"/>
    <w:rsid w:val="00311FA6"/>
    <w:rsid w:val="00337FF4"/>
    <w:rsid w:val="003A7260"/>
    <w:rsid w:val="003B07E0"/>
    <w:rsid w:val="003E5BD5"/>
    <w:rsid w:val="003F2BA0"/>
    <w:rsid w:val="0045614C"/>
    <w:rsid w:val="00477BD5"/>
    <w:rsid w:val="004E5ED9"/>
    <w:rsid w:val="004F0227"/>
    <w:rsid w:val="00554E2B"/>
    <w:rsid w:val="00574E24"/>
    <w:rsid w:val="006066D8"/>
    <w:rsid w:val="00676F6C"/>
    <w:rsid w:val="00690D37"/>
    <w:rsid w:val="006B2F4B"/>
    <w:rsid w:val="006C5F75"/>
    <w:rsid w:val="00723B3A"/>
    <w:rsid w:val="00767218"/>
    <w:rsid w:val="00793A64"/>
    <w:rsid w:val="007A7F53"/>
    <w:rsid w:val="00832D5C"/>
    <w:rsid w:val="00865B59"/>
    <w:rsid w:val="0089618B"/>
    <w:rsid w:val="008A308E"/>
    <w:rsid w:val="008A7818"/>
    <w:rsid w:val="0096771E"/>
    <w:rsid w:val="00980CF5"/>
    <w:rsid w:val="009853DE"/>
    <w:rsid w:val="009A29E2"/>
    <w:rsid w:val="009A765B"/>
    <w:rsid w:val="009B6D76"/>
    <w:rsid w:val="009C04FB"/>
    <w:rsid w:val="009D2208"/>
    <w:rsid w:val="009F79B0"/>
    <w:rsid w:val="00A147F6"/>
    <w:rsid w:val="00A441AB"/>
    <w:rsid w:val="00A525BB"/>
    <w:rsid w:val="00A6025C"/>
    <w:rsid w:val="00A936DF"/>
    <w:rsid w:val="00AB58F1"/>
    <w:rsid w:val="00AC12D6"/>
    <w:rsid w:val="00B04933"/>
    <w:rsid w:val="00B66B0A"/>
    <w:rsid w:val="00B66FCA"/>
    <w:rsid w:val="00B724A1"/>
    <w:rsid w:val="00BA233D"/>
    <w:rsid w:val="00BA4463"/>
    <w:rsid w:val="00C3471D"/>
    <w:rsid w:val="00C3673C"/>
    <w:rsid w:val="00C559BB"/>
    <w:rsid w:val="00C900D9"/>
    <w:rsid w:val="00CC19EE"/>
    <w:rsid w:val="00CD094F"/>
    <w:rsid w:val="00CF442F"/>
    <w:rsid w:val="00D2150A"/>
    <w:rsid w:val="00D32915"/>
    <w:rsid w:val="00D3382E"/>
    <w:rsid w:val="00D61B34"/>
    <w:rsid w:val="00D80BAB"/>
    <w:rsid w:val="00D82FE7"/>
    <w:rsid w:val="00DD40B5"/>
    <w:rsid w:val="00DE01B8"/>
    <w:rsid w:val="00DE038A"/>
    <w:rsid w:val="00DE2A70"/>
    <w:rsid w:val="00DF0AB3"/>
    <w:rsid w:val="00DF40BD"/>
    <w:rsid w:val="00E34DBC"/>
    <w:rsid w:val="00E371FF"/>
    <w:rsid w:val="00E40521"/>
    <w:rsid w:val="00E57CA5"/>
    <w:rsid w:val="00E87467"/>
    <w:rsid w:val="00EA3D03"/>
    <w:rsid w:val="00EE0458"/>
    <w:rsid w:val="00EE20E4"/>
    <w:rsid w:val="00EE2339"/>
    <w:rsid w:val="00EF6B13"/>
    <w:rsid w:val="00F0341B"/>
    <w:rsid w:val="00F1619F"/>
    <w:rsid w:val="00F25706"/>
    <w:rsid w:val="00F27581"/>
    <w:rsid w:val="00F33729"/>
    <w:rsid w:val="00F72A31"/>
    <w:rsid w:val="00F92890"/>
    <w:rsid w:val="00FA2684"/>
    <w:rsid w:val="00FD5336"/>
    <w:rsid w:val="00FE7092"/>
    <w:rsid w:val="175F53D8"/>
    <w:rsid w:val="1B99589D"/>
    <w:rsid w:val="2976560E"/>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17"/>
    <w:qFormat/>
    <w:uiPriority w:val="0"/>
    <w:pPr>
      <w:snapToGrid w:val="0"/>
      <w:jc w:val="left"/>
    </w:pPr>
    <w:rPr>
      <w:sz w:val="18"/>
      <w:szCs w:val="18"/>
    </w:rPr>
  </w:style>
  <w:style w:type="paragraph" w:styleId="8">
    <w:name w:val="annotation subject"/>
    <w:basedOn w:val="4"/>
    <w:next w:val="4"/>
    <w:link w:val="16"/>
    <w:qFormat/>
    <w:uiPriority w:val="0"/>
    <w:rPr>
      <w:b/>
      <w:bCs/>
    </w:rPr>
  </w:style>
  <w:style w:type="character" w:styleId="11">
    <w:name w:val="Hyperlink"/>
    <w:basedOn w:val="10"/>
    <w:qFormat/>
    <w:uiPriority w:val="0"/>
    <w:rPr>
      <w:color w:val="0563C1" w:themeColor="hyperlink"/>
      <w:u w:val="single"/>
      <w14:textFill>
        <w14:solidFill>
          <w14:schemeClr w14:val="hlink"/>
        </w14:solidFill>
      </w14:textFill>
    </w:rPr>
  </w:style>
  <w:style w:type="character" w:styleId="12">
    <w:name w:val="annotation reference"/>
    <w:basedOn w:val="10"/>
    <w:uiPriority w:val="0"/>
    <w:rPr>
      <w:sz w:val="21"/>
      <w:szCs w:val="21"/>
    </w:rPr>
  </w:style>
  <w:style w:type="character" w:styleId="13">
    <w:name w:val="footnote reference"/>
    <w:basedOn w:val="10"/>
    <w:qFormat/>
    <w:uiPriority w:val="0"/>
    <w:rPr>
      <w:vertAlign w:val="superscript"/>
    </w:rPr>
  </w:style>
  <w:style w:type="paragraph" w:customStyle="1" w:styleId="14">
    <w:name w:val="列出段落1"/>
    <w:basedOn w:val="1"/>
    <w:qFormat/>
    <w:uiPriority w:val="34"/>
    <w:pPr>
      <w:ind w:firstLine="420" w:firstLineChars="200"/>
    </w:pPr>
    <w:rPr>
      <w:rFonts w:ascii="Calibri" w:hAnsi="Calibri" w:cs="黑体"/>
      <w:szCs w:val="22"/>
    </w:rPr>
  </w:style>
  <w:style w:type="character" w:customStyle="1" w:styleId="15">
    <w:name w:val="批注文字 Char"/>
    <w:basedOn w:val="10"/>
    <w:link w:val="4"/>
    <w:qFormat/>
    <w:uiPriority w:val="0"/>
    <w:rPr>
      <w:rFonts w:ascii="Times New Roman" w:hAnsi="Times New Roman" w:eastAsia="宋体" w:cs="Times New Roman"/>
      <w:kern w:val="2"/>
      <w:sz w:val="21"/>
      <w:szCs w:val="24"/>
    </w:rPr>
  </w:style>
  <w:style w:type="character" w:customStyle="1" w:styleId="16">
    <w:name w:val="批注主题 Char"/>
    <w:basedOn w:val="15"/>
    <w:link w:val="8"/>
    <w:qFormat/>
    <w:uiPriority w:val="0"/>
    <w:rPr>
      <w:rFonts w:ascii="Times New Roman" w:hAnsi="Times New Roman" w:eastAsia="宋体" w:cs="Times New Roman"/>
      <w:b/>
      <w:bCs/>
      <w:kern w:val="2"/>
      <w:sz w:val="21"/>
      <w:szCs w:val="24"/>
    </w:rPr>
  </w:style>
  <w:style w:type="character" w:customStyle="1" w:styleId="17">
    <w:name w:val="脚注文本 Char"/>
    <w:basedOn w:val="10"/>
    <w:link w:val="7"/>
    <w:qFormat/>
    <w:uiPriority w:val="0"/>
    <w:rPr>
      <w:rFonts w:ascii="Times New Roman" w:hAnsi="Times New Roman" w:eastAsia="宋体" w:cs="Times New Roman"/>
      <w:kern w:val="2"/>
      <w:sz w:val="18"/>
      <w:szCs w:val="18"/>
    </w:rPr>
  </w:style>
  <w:style w:type="paragraph" w:customStyle="1" w:styleId="18">
    <w:name w:val="一级标题"/>
    <w:basedOn w:val="1"/>
    <w:qFormat/>
    <w:uiPriority w:val="0"/>
    <w:pPr>
      <w:adjustRightInd w:val="0"/>
      <w:snapToGrid w:val="0"/>
      <w:spacing w:line="560" w:lineRule="exact"/>
      <w:ind w:firstLine="640" w:firstLineChars="200"/>
      <w:outlineLvl w:val="0"/>
    </w:pPr>
    <w:rPr>
      <w:rFonts w:ascii="黑体" w:hAnsi="黑体" w:eastAsia="黑体" w:cs="宋体"/>
      <w:color w:val="000000"/>
      <w:kern w:val="0"/>
      <w:sz w:val="32"/>
      <w:szCs w:val="32"/>
    </w:rPr>
  </w:style>
  <w:style w:type="paragraph" w:customStyle="1" w:styleId="19">
    <w:name w:val="二级标题"/>
    <w:basedOn w:val="1"/>
    <w:qFormat/>
    <w:uiPriority w:val="0"/>
    <w:pPr>
      <w:adjustRightInd w:val="0"/>
      <w:snapToGrid w:val="0"/>
      <w:spacing w:line="560" w:lineRule="exact"/>
      <w:ind w:firstLine="640" w:firstLineChars="200"/>
      <w:outlineLvl w:val="1"/>
    </w:pPr>
    <w:rPr>
      <w:rFonts w:ascii="楷体" w:hAnsi="楷体" w:eastAsia="楷体"/>
      <w:sz w:val="32"/>
      <w:szCs w:val="32"/>
    </w:rPr>
  </w:style>
  <w:style w:type="paragraph" w:customStyle="1" w:styleId="20">
    <w:name w:val="三级标题"/>
    <w:basedOn w:val="1"/>
    <w:qFormat/>
    <w:uiPriority w:val="0"/>
    <w:pPr>
      <w:adjustRightInd w:val="0"/>
      <w:snapToGrid w:val="0"/>
      <w:spacing w:line="560" w:lineRule="exact"/>
      <w:ind w:firstLine="640" w:firstLineChars="200"/>
      <w:outlineLvl w:val="2"/>
    </w:pPr>
    <w:rPr>
      <w:rFonts w:ascii="仿宋_GB2312" w:hAnsi="宋体" w:eastAsia="仿宋_GB2312" w:cs="宋体"/>
      <w:color w:val="000000"/>
      <w:kern w:val="0"/>
      <w:sz w:val="32"/>
      <w:szCs w:val="32"/>
    </w:rPr>
  </w:style>
  <w:style w:type="paragraph" w:customStyle="1" w:styleId="21">
    <w:name w:val="报告正文"/>
    <w:basedOn w:val="1"/>
    <w:qFormat/>
    <w:uiPriority w:val="0"/>
    <w:pPr>
      <w:adjustRightInd w:val="0"/>
      <w:snapToGrid w:val="0"/>
      <w:spacing w:line="560" w:lineRule="exact"/>
      <w:ind w:firstLine="640" w:firstLineChars="200"/>
    </w:pPr>
    <w:rPr>
      <w:rFonts w:ascii="仿宋_GB2312" w:hAnsi="宋体" w:eastAsia="仿宋_GB2312" w:cs="宋体"/>
      <w:color w:val="000000"/>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7C29A3-4A96-4A9D-84D0-20C7C25FA71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32</Pages>
  <Words>16033</Words>
  <Characters>1605</Characters>
  <Lines>13</Lines>
  <Paragraphs>35</Paragraphs>
  <TotalTime>31</TotalTime>
  <ScaleCrop>false</ScaleCrop>
  <LinksUpToDate>false</LinksUpToDate>
  <CharactersWithSpaces>17603</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2024-05-20T14:22:00Z</dcterms:created>
  <dc:creator>user</dc:creator>
  <cp:lastModifiedBy>嗯</cp:lastModifiedBy>
  <cp:lastPrinted>2023-03-06T01:31:00Z</cp:lastPrinted>
  <dcterms:modified xsi:type="dcterms:W3CDTF">2025-05-30T02:18:04Z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