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黑体" w:eastAsia="黑体"/>
          <w:sz w:val="72"/>
          <w:szCs w:val="72"/>
        </w:rPr>
      </w:pPr>
      <w:r>
        <w:rPr>
          <w:rFonts w:hint="eastAsia" w:ascii="黑体" w:hAnsi="Times New Roman" w:eastAsia="黑体" w:cs="Times New Roman"/>
          <w:sz w:val="72"/>
          <w:szCs w:val="72"/>
          <w:lang w:val="en-US" w:eastAsia="zh-CN"/>
        </w:rPr>
        <w:t>北京市司法局政府法治研究中心</w:t>
      </w: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bookmarkStart w:id="0" w:name="_GoBack"/>
      <w:bookmarkEnd w:id="0"/>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北京市司法局政府法治研究中心</w:t>
      </w:r>
      <w:r>
        <w:rPr>
          <w:rFonts w:hint="eastAsia" w:ascii="仿宋_GB2312" w:eastAsia="仿宋_GB2312"/>
          <w:sz w:val="28"/>
          <w:szCs w:val="28"/>
          <w:lang w:eastAsia="zh-CN"/>
        </w:rPr>
        <w:t>为北京市司法局所属正处级公益一类事业单位</w:t>
      </w:r>
      <w:r>
        <w:rPr>
          <w:rFonts w:hint="eastAsia" w:ascii="仿宋_GB2312" w:eastAsia="仿宋_GB2312"/>
          <w:sz w:val="28"/>
          <w:szCs w:val="28"/>
        </w:rPr>
        <w:t>,内设3个科室</w:t>
      </w:r>
      <w:r>
        <w:rPr>
          <w:rFonts w:hint="eastAsia" w:ascii="仿宋_GB2312" w:eastAsia="仿宋_GB2312"/>
          <w:sz w:val="28"/>
          <w:szCs w:val="28"/>
          <w:lang w:eastAsia="zh-CN"/>
        </w:rPr>
        <w:t>，分别为：综合科、研究一科、研究二科</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职责包括：承担本市行政法治理论和依法行政基础理论及实践研究工作:承担地方性法规规章编纂、外文文本编译以及立法后评估的辅助性、事务性工作；承担有关法治课题管理工作；联系法学研究机构和专家学者，组织开展相关业务交流。</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年度收、支总计776.74万元，比上年增加</w:t>
      </w:r>
      <w:r>
        <w:rPr>
          <w:rFonts w:hint="eastAsia" w:ascii="仿宋_GB2312" w:eastAsia="仿宋_GB2312"/>
          <w:sz w:val="28"/>
          <w:szCs w:val="28"/>
          <w:lang w:val="en-US" w:eastAsia="zh-CN"/>
        </w:rPr>
        <w:t>114.01</w:t>
      </w:r>
      <w:r>
        <w:rPr>
          <w:rFonts w:hint="eastAsia" w:ascii="仿宋_GB2312" w:eastAsia="仿宋_GB2312"/>
          <w:sz w:val="28"/>
          <w:szCs w:val="28"/>
        </w:rPr>
        <w:t>万元，增长</w:t>
      </w:r>
      <w:r>
        <w:rPr>
          <w:rFonts w:hint="eastAsia" w:ascii="仿宋_GB2312" w:eastAsia="仿宋_GB2312"/>
          <w:sz w:val="28"/>
          <w:szCs w:val="28"/>
          <w:lang w:val="en-US" w:eastAsia="zh-CN"/>
        </w:rPr>
        <w:t>17.20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年度本年收入合计771.06万元，比上年增加</w:t>
      </w:r>
      <w:r>
        <w:rPr>
          <w:rFonts w:hint="eastAsia" w:ascii="仿宋_GB2312" w:eastAsia="仿宋_GB2312"/>
          <w:sz w:val="28"/>
          <w:szCs w:val="28"/>
          <w:lang w:val="en-US" w:eastAsia="zh-CN"/>
        </w:rPr>
        <w:t>111.83</w:t>
      </w:r>
      <w:r>
        <w:rPr>
          <w:rFonts w:hint="eastAsia" w:ascii="仿宋_GB2312" w:eastAsia="仿宋_GB2312"/>
          <w:sz w:val="28"/>
          <w:szCs w:val="28"/>
        </w:rPr>
        <w:t>万元，增长</w:t>
      </w:r>
      <w:r>
        <w:rPr>
          <w:rFonts w:hint="eastAsia" w:ascii="仿宋_GB2312" w:eastAsia="仿宋_GB2312"/>
          <w:sz w:val="28"/>
          <w:szCs w:val="28"/>
          <w:lang w:val="en-US" w:eastAsia="zh-CN"/>
        </w:rPr>
        <w:t>16.96</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财政拨款收入771.02万元，占收入合计的</w:t>
      </w:r>
      <w:r>
        <w:rPr>
          <w:rFonts w:hint="eastAsia" w:ascii="仿宋_GB2312" w:eastAsia="仿宋_GB2312"/>
          <w:sz w:val="28"/>
          <w:szCs w:val="28"/>
          <w:lang w:val="en-US" w:eastAsia="zh-CN"/>
        </w:rPr>
        <w:t>99.99</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771.02万元，占收入合计的</w:t>
      </w:r>
      <w:r>
        <w:rPr>
          <w:rFonts w:hint="eastAsia" w:ascii="仿宋_GB2312" w:eastAsia="仿宋_GB2312"/>
          <w:sz w:val="28"/>
          <w:szCs w:val="28"/>
          <w:lang w:val="en-US"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0万元，占收入合计的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rPr>
        <w:t>0万元，占收入合计的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6.其他收入</w:t>
      </w:r>
      <w:r>
        <w:rPr>
          <w:rFonts w:ascii="仿宋_GB2312" w:eastAsia="仿宋_GB2312"/>
          <w:sz w:val="28"/>
          <w:szCs w:val="28"/>
        </w:rPr>
        <w:t>0.04</w:t>
      </w:r>
      <w:r>
        <w:rPr>
          <w:rFonts w:hint="eastAsia" w:ascii="仿宋_GB2312" w:eastAsia="仿宋_GB2312"/>
          <w:sz w:val="28"/>
          <w:szCs w:val="28"/>
        </w:rPr>
        <w:t>万元，占收入合计的</w:t>
      </w:r>
      <w:r>
        <w:rPr>
          <w:rFonts w:hint="eastAsia" w:ascii="仿宋_GB2312" w:eastAsia="仿宋_GB2312"/>
          <w:sz w:val="28"/>
          <w:szCs w:val="28"/>
          <w:lang w:val="en-US" w:eastAsia="zh-CN"/>
        </w:rPr>
        <w:t>0.01</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hint="eastAsia" w:ascii="仿宋_GB2312" w:eastAsia="仿宋_GB2312"/>
          <w:sz w:val="28"/>
          <w:szCs w:val="28"/>
          <w:lang w:eastAsia="zh-CN"/>
        </w:rPr>
        <w:drawing>
          <wp:inline distT="0" distB="0" distL="114300" distR="114300">
            <wp:extent cx="4079875" cy="2483485"/>
            <wp:effectExtent l="4445" t="4445" r="11430" b="762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年度本年支出合计753.59万元，比上年增加</w:t>
      </w:r>
      <w:r>
        <w:rPr>
          <w:rFonts w:hint="eastAsia" w:ascii="仿宋_GB2312" w:eastAsia="仿宋_GB2312"/>
          <w:sz w:val="28"/>
          <w:szCs w:val="28"/>
          <w:lang w:val="en-US" w:eastAsia="zh-CN"/>
        </w:rPr>
        <w:t>161.56</w:t>
      </w:r>
      <w:r>
        <w:rPr>
          <w:rFonts w:hint="eastAsia" w:ascii="仿宋_GB2312" w:eastAsia="仿宋_GB2312"/>
          <w:sz w:val="28"/>
          <w:szCs w:val="28"/>
        </w:rPr>
        <w:t>万元，增长</w:t>
      </w:r>
      <w:r>
        <w:rPr>
          <w:rFonts w:hint="eastAsia" w:ascii="仿宋_GB2312" w:eastAsia="仿宋_GB2312"/>
          <w:sz w:val="28"/>
          <w:szCs w:val="28"/>
          <w:lang w:val="en-US" w:eastAsia="zh-CN"/>
        </w:rPr>
        <w:t>27.29</w:t>
      </w:r>
      <w:r>
        <w:rPr>
          <w:rFonts w:hint="eastAsia" w:ascii="仿宋_GB2312" w:eastAsia="仿宋_GB2312"/>
          <w:sz w:val="28"/>
          <w:szCs w:val="28"/>
        </w:rPr>
        <w:t>%，其中：基本支出654.8万元，占支出合计的</w:t>
      </w:r>
      <w:r>
        <w:rPr>
          <w:rFonts w:hint="eastAsia" w:ascii="仿宋_GB2312" w:eastAsia="仿宋_GB2312"/>
          <w:sz w:val="28"/>
          <w:szCs w:val="28"/>
          <w:lang w:eastAsia="zh-CN"/>
        </w:rPr>
        <w:t>86.89</w:t>
      </w:r>
      <w:r>
        <w:rPr>
          <w:rFonts w:hint="eastAsia" w:ascii="仿宋_GB2312" w:eastAsia="仿宋_GB2312"/>
          <w:sz w:val="28"/>
          <w:szCs w:val="28"/>
        </w:rPr>
        <w:t>%；项目支出98.78万元，占支出合计的</w:t>
      </w:r>
      <w:r>
        <w:rPr>
          <w:rFonts w:hint="eastAsia" w:ascii="仿宋_GB2312" w:eastAsia="仿宋_GB2312"/>
          <w:sz w:val="28"/>
          <w:szCs w:val="28"/>
          <w:lang w:eastAsia="zh-CN"/>
        </w:rPr>
        <w:t>13.11</w:t>
      </w:r>
      <w:r>
        <w:rPr>
          <w:rFonts w:hint="eastAsia" w:ascii="仿宋_GB2312" w:eastAsia="仿宋_GB2312"/>
          <w:sz w:val="28"/>
          <w:szCs w:val="28"/>
        </w:rPr>
        <w:t>%;上缴上级支出0万元，占支出合计的</w:t>
      </w:r>
      <w:r>
        <w:rPr>
          <w:rFonts w:hint="eastAsia" w:ascii="仿宋_GB2312" w:eastAsia="仿宋_GB2312"/>
          <w:sz w:val="28"/>
          <w:szCs w:val="28"/>
          <w:lang w:eastAsia="zh-CN"/>
        </w:rPr>
        <w:t>0</w:t>
      </w:r>
      <w:r>
        <w:rPr>
          <w:rFonts w:hint="eastAsia" w:ascii="仿宋_GB2312" w:eastAsia="仿宋_GB2312"/>
          <w:sz w:val="28"/>
          <w:szCs w:val="28"/>
        </w:rPr>
        <w:t>%；经营支出0万元，占支出合计的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61205" cy="2736850"/>
            <wp:effectExtent l="4445" t="4445" r="6350" b="2095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年度财政拨款收、支总计771.02万元，比上年增加</w:t>
      </w:r>
      <w:r>
        <w:rPr>
          <w:rFonts w:hint="eastAsia" w:ascii="仿宋_GB2312" w:eastAsia="仿宋_GB2312"/>
          <w:sz w:val="28"/>
          <w:szCs w:val="28"/>
          <w:lang w:val="en-US" w:eastAsia="zh-CN"/>
        </w:rPr>
        <w:t>111.84</w:t>
      </w:r>
      <w:r>
        <w:rPr>
          <w:rFonts w:hint="eastAsia" w:ascii="仿宋_GB2312" w:eastAsia="仿宋_GB2312"/>
          <w:sz w:val="28"/>
          <w:szCs w:val="28"/>
        </w:rPr>
        <w:t>万元，增长</w:t>
      </w:r>
      <w:r>
        <w:rPr>
          <w:rFonts w:hint="eastAsia" w:ascii="仿宋_GB2312" w:eastAsia="仿宋_GB2312"/>
          <w:sz w:val="28"/>
          <w:szCs w:val="28"/>
          <w:lang w:val="en-US" w:eastAsia="zh-CN"/>
        </w:rPr>
        <w:t>16.97</w:t>
      </w:r>
      <w:r>
        <w:rPr>
          <w:rFonts w:hint="eastAsia" w:ascii="仿宋_GB2312" w:eastAsia="仿宋_GB2312"/>
          <w:sz w:val="28"/>
          <w:szCs w:val="28"/>
        </w:rPr>
        <w:t>%。主要原因：</w:t>
      </w:r>
      <w:r>
        <w:rPr>
          <w:rFonts w:hint="eastAsia" w:ascii="仿宋_GB2312" w:eastAsia="仿宋_GB2312"/>
          <w:sz w:val="28"/>
          <w:szCs w:val="28"/>
          <w:lang w:val="en-US" w:eastAsia="zh-CN"/>
        </w:rPr>
        <w:t>本年度我单位人员增加，致使相应经费增加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年度一般公共预算财政拨款支出753.57万元，主要用于以下方面：</w:t>
      </w:r>
      <w:r>
        <w:rPr>
          <w:rFonts w:hint="eastAsia" w:ascii="仿宋_GB2312" w:eastAsia="仿宋_GB2312"/>
          <w:sz w:val="28"/>
          <w:szCs w:val="28"/>
          <w:lang w:eastAsia="zh-CN"/>
        </w:rPr>
        <w:t>公共安全支出</w:t>
      </w:r>
      <w:r>
        <w:rPr>
          <w:rFonts w:hint="eastAsia" w:ascii="仿宋_GB2312" w:eastAsia="仿宋_GB2312"/>
          <w:sz w:val="28"/>
          <w:szCs w:val="28"/>
          <w:lang w:val="en-US" w:eastAsia="zh-CN"/>
        </w:rPr>
        <w:t>618.45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82.07</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0.67万元，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0.09</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79.39万元，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10.53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55.06万元，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7.31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color w:val="0000FF"/>
          <w:sz w:val="28"/>
          <w:szCs w:val="28"/>
        </w:rPr>
      </w:pPr>
      <w:r>
        <w:rPr>
          <w:rFonts w:hint="eastAsia" w:ascii="仿宋_GB2312" w:eastAsia="仿宋_GB2312"/>
          <w:sz w:val="28"/>
          <w:szCs w:val="28"/>
        </w:rPr>
        <w:t>（二）一般</w:t>
      </w:r>
      <w:r>
        <w:rPr>
          <w:rFonts w:hint="eastAsia" w:ascii="仿宋_GB2312" w:eastAsia="仿宋_GB2312"/>
          <w:sz w:val="28"/>
          <w:szCs w:val="28"/>
          <w:lang w:eastAsia="zh-CN"/>
        </w:rPr>
        <w:t>公共预算财政拨款支出决算具体情况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公共安全支出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596.51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618.45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103.68</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司法</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596.51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618.45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103.68</w:t>
      </w:r>
      <w:r>
        <w:rPr>
          <w:rFonts w:hint="eastAsia" w:ascii="仿宋_GB2312" w:eastAsia="仿宋_GB2312"/>
          <w:sz w:val="28"/>
          <w:szCs w:val="28"/>
        </w:rPr>
        <w:t>%。主要原因：</w:t>
      </w:r>
      <w:r>
        <w:rPr>
          <w:rFonts w:hint="eastAsia" w:ascii="仿宋_GB2312" w:eastAsia="仿宋_GB2312"/>
          <w:sz w:val="28"/>
          <w:szCs w:val="28"/>
          <w:lang w:val="en-US" w:eastAsia="zh-CN"/>
        </w:rPr>
        <w:t>本年度我单位人员增加，致使相应经费增加</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1.6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41.88</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1.6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41.88</w:t>
      </w:r>
      <w:r>
        <w:rPr>
          <w:rFonts w:hint="eastAsia" w:ascii="仿宋_GB2312" w:eastAsia="仿宋_GB2312"/>
          <w:sz w:val="28"/>
          <w:szCs w:val="28"/>
        </w:rPr>
        <w:t>%。主要原因：</w:t>
      </w:r>
      <w:r>
        <w:rPr>
          <w:rFonts w:hint="eastAsia" w:ascii="仿宋_GB2312" w:eastAsia="仿宋_GB2312"/>
          <w:sz w:val="28"/>
          <w:szCs w:val="28"/>
          <w:lang w:val="en-US" w:eastAsia="zh-CN"/>
        </w:rPr>
        <w:t>进一步落实过紧日子要求，压缩一般性支出</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72.77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109.10</w:t>
      </w:r>
      <w:r>
        <w:rPr>
          <w:rFonts w:hint="eastAsia" w:ascii="仿宋_GB2312" w:eastAsia="仿宋_GB2312"/>
          <w:sz w:val="28"/>
          <w:szCs w:val="28"/>
        </w:rPr>
        <w:t>%</w:t>
      </w:r>
      <w:r>
        <w:rPr>
          <w:rFonts w:hint="default" w:ascii="仿宋_GB2312" w:eastAsia="仿宋_GB2312"/>
          <w:sz w:val="28"/>
          <w:szCs w:val="28"/>
          <w:lang w:val="en"/>
        </w:rPr>
        <w:t>.</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72.77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109.10</w:t>
      </w:r>
      <w:r>
        <w:rPr>
          <w:rFonts w:hint="eastAsia" w:ascii="仿宋_GB2312" w:eastAsia="仿宋_GB2312"/>
          <w:sz w:val="28"/>
          <w:szCs w:val="28"/>
        </w:rPr>
        <w:t>%。主要原因：</w:t>
      </w:r>
      <w:r>
        <w:rPr>
          <w:rFonts w:hint="eastAsia" w:ascii="仿宋_GB2312" w:eastAsia="仿宋_GB2312"/>
          <w:sz w:val="28"/>
          <w:szCs w:val="28"/>
          <w:lang w:val="en-US" w:eastAsia="zh-CN"/>
        </w:rPr>
        <w:t>本年度我单位人员增加及缴费基数调整，致使相应经费增加</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50.35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55.06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109.35</w:t>
      </w:r>
      <w:r>
        <w:rPr>
          <w:rFonts w:hint="eastAsia" w:ascii="仿宋_GB2312" w:eastAsia="仿宋_GB2312"/>
          <w:sz w:val="28"/>
          <w:szCs w:val="28"/>
        </w:rPr>
        <w:t>%。其中：“</w:t>
      </w:r>
      <w:r>
        <w:rPr>
          <w:rFonts w:hint="eastAsia" w:ascii="仿宋_GB2312" w:eastAsia="仿宋_GB2312"/>
          <w:sz w:val="28"/>
          <w:szCs w:val="28"/>
          <w:lang w:eastAsia="zh-CN"/>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50.35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55.06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109.35</w:t>
      </w:r>
      <w:r>
        <w:rPr>
          <w:rFonts w:hint="eastAsia" w:ascii="仿宋_GB2312" w:eastAsia="仿宋_GB2312"/>
          <w:sz w:val="28"/>
          <w:szCs w:val="28"/>
        </w:rPr>
        <w:t>%。主要原因</w:t>
      </w:r>
      <w:r>
        <w:rPr>
          <w:rFonts w:hint="default" w:ascii="仿宋_GB2312" w:eastAsia="仿宋_GB2312"/>
          <w:sz w:val="28"/>
          <w:szCs w:val="28"/>
          <w:lang w:val="en"/>
        </w:rPr>
        <w:t>:</w:t>
      </w:r>
      <w:r>
        <w:rPr>
          <w:rFonts w:hint="eastAsia" w:ascii="仿宋_GB2312" w:eastAsia="仿宋_GB2312"/>
          <w:sz w:val="28"/>
          <w:szCs w:val="28"/>
          <w:lang w:val="en-US" w:eastAsia="zh-CN"/>
        </w:rPr>
        <w:t>本年度我单位人员增加及缴费基数调整，致使相应经费增加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我</w:t>
      </w:r>
      <w:r>
        <w:rPr>
          <w:rFonts w:hint="eastAsia" w:ascii="仿宋_GB2312" w:eastAsia="仿宋_GB2312"/>
          <w:sz w:val="28"/>
          <w:szCs w:val="28"/>
          <w:lang w:eastAsia="zh-CN"/>
        </w:rPr>
        <w:t>单位</w:t>
      </w:r>
      <w:r>
        <w:rPr>
          <w:rFonts w:hint="eastAsia" w:ascii="仿宋_GB2312" w:eastAsia="仿宋_GB2312"/>
          <w:sz w:val="28"/>
          <w:szCs w:val="28"/>
        </w:rPr>
        <w:t>无政府性基金预算财政拨款支出。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jc w:val="both"/>
        <w:textAlignment w:val="auto"/>
        <w:rPr>
          <w:rFonts w:ascii="仿宋_GB2312" w:eastAsia="仿宋_GB2312"/>
          <w:sz w:val="28"/>
          <w:szCs w:val="28"/>
        </w:rPr>
      </w:pPr>
      <w:r>
        <w:rPr>
          <w:rFonts w:hint="eastAsia" w:ascii="仿宋_GB2312" w:eastAsia="仿宋_GB2312"/>
          <w:sz w:val="28"/>
          <w:szCs w:val="28"/>
        </w:rPr>
        <w:t>我</w:t>
      </w:r>
      <w:r>
        <w:rPr>
          <w:rFonts w:hint="eastAsia" w:ascii="仿宋_GB2312" w:eastAsia="仿宋_GB2312"/>
          <w:sz w:val="28"/>
          <w:szCs w:val="28"/>
          <w:lang w:eastAsia="zh-CN"/>
        </w:rPr>
        <w:t>单位</w:t>
      </w:r>
      <w:r>
        <w:rPr>
          <w:rFonts w:hint="eastAsia" w:ascii="仿宋_GB2312" w:eastAsia="仿宋_GB2312"/>
          <w:sz w:val="28"/>
          <w:szCs w:val="28"/>
        </w:rPr>
        <w:t>无国有资本经营预算财政拨款支出。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654.79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我单位无“三公”经费财政拨款支出。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hAnsi="Times New Roman" w:eastAsia="仿宋_GB2312" w:cs="Times New Roman"/>
          <w:sz w:val="28"/>
          <w:szCs w:val="28"/>
          <w:lang w:eastAsia="zh-CN"/>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78.83</w:t>
      </w:r>
      <w:r>
        <w:rPr>
          <w:rFonts w:hint="eastAsia" w:ascii="仿宋_GB2312" w:eastAsia="仿宋_GB2312"/>
          <w:sz w:val="28"/>
          <w:szCs w:val="28"/>
        </w:rPr>
        <w:t>万元，其中：政府采购货物支出</w:t>
      </w:r>
      <w:r>
        <w:rPr>
          <w:rFonts w:ascii="仿宋_GB2312" w:eastAsia="仿宋_GB2312"/>
          <w:sz w:val="28"/>
          <w:szCs w:val="28"/>
        </w:rPr>
        <w:t>0.29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78.54</w:t>
      </w:r>
      <w:r>
        <w:rPr>
          <w:rFonts w:hint="eastAsia" w:ascii="仿宋_GB2312" w:eastAsia="仿宋_GB2312"/>
          <w:sz w:val="28"/>
          <w:szCs w:val="28"/>
        </w:rPr>
        <w:t>万元。授予中小企业合同金额</w:t>
      </w:r>
      <w:r>
        <w:rPr>
          <w:rFonts w:ascii="仿宋_GB2312" w:eastAsia="仿宋_GB2312"/>
          <w:sz w:val="28"/>
          <w:szCs w:val="28"/>
        </w:rPr>
        <w:t>78.83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78.54</w:t>
      </w:r>
      <w:r>
        <w:rPr>
          <w:rFonts w:hint="eastAsia" w:ascii="仿宋_GB2312" w:eastAsia="仿宋_GB2312"/>
          <w:sz w:val="28"/>
          <w:szCs w:val="28"/>
        </w:rPr>
        <w:t>万元，占政府采购支出总额的</w:t>
      </w:r>
      <w:r>
        <w:rPr>
          <w:rFonts w:ascii="仿宋_GB2312" w:eastAsia="仿宋_GB2312"/>
          <w:sz w:val="28"/>
          <w:szCs w:val="28"/>
        </w:rPr>
        <w:t>99.63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12月31日，北京市司法局政府法治研究中心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rPr>
        <w:t>7.公共安全支出（类）司法（款）法治建设（项）：反映全面依法治国相关工作和行政立法、执法监督、行政复议等</w:t>
      </w:r>
      <w:r>
        <w:rPr>
          <w:rFonts w:hint="eastAsia" w:ascii="仿宋_GB2312" w:eastAsia="仿宋_GB2312"/>
          <w:sz w:val="28"/>
          <w:szCs w:val="28"/>
          <w:lang w:eastAsia="zh-CN"/>
        </w:rPr>
        <w:t>。</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公共安全支出（类）司法（款）事业运行（项）：反映事业单位的基本支出，不包括行政单位（包括实行公务员管理的事业单位）后勤服务中心、医务室等附属事业单位。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val="en" w:eastAsia="zh-CN"/>
        </w:rPr>
      </w:pPr>
      <w:r>
        <w:rPr>
          <w:rFonts w:hint="eastAsia" w:ascii="仿宋_GB2312" w:eastAsia="仿宋_GB2312"/>
          <w:sz w:val="28"/>
          <w:szCs w:val="28"/>
          <w:lang w:val="en-US" w:eastAsia="zh-CN"/>
        </w:rPr>
        <w:t>9.</w:t>
      </w:r>
      <w:r>
        <w:rPr>
          <w:rFonts w:hint="default" w:ascii="仿宋_GB2312" w:eastAsia="仿宋_GB2312"/>
          <w:sz w:val="28"/>
          <w:szCs w:val="28"/>
          <w:lang w:val="en" w:eastAsia="zh-CN"/>
        </w:rPr>
        <w:t>教育支出</w:t>
      </w:r>
      <w:r>
        <w:rPr>
          <w:rFonts w:hint="eastAsia" w:ascii="仿宋_GB2312" w:eastAsia="仿宋_GB2312"/>
          <w:sz w:val="28"/>
          <w:szCs w:val="28"/>
          <w:lang w:val="en" w:eastAsia="zh-CN"/>
        </w:rPr>
        <w:t>（类）</w:t>
      </w:r>
      <w:r>
        <w:rPr>
          <w:rFonts w:hint="eastAsia" w:ascii="仿宋_GB2312" w:eastAsia="仿宋_GB2312"/>
          <w:sz w:val="28"/>
          <w:szCs w:val="28"/>
          <w:lang w:val="en-US" w:eastAsia="zh-CN"/>
        </w:rPr>
        <w:t>进修及培训（款）</w:t>
      </w:r>
      <w:r>
        <w:rPr>
          <w:rFonts w:hint="default" w:ascii="仿宋_GB2312" w:eastAsia="仿宋_GB2312"/>
          <w:sz w:val="28"/>
          <w:szCs w:val="28"/>
          <w:lang w:val="en" w:eastAsia="zh-CN"/>
        </w:rPr>
        <w:t>培训支出</w:t>
      </w:r>
      <w:r>
        <w:rPr>
          <w:rFonts w:hint="eastAsia" w:ascii="仿宋_GB2312" w:eastAsia="仿宋_GB2312"/>
          <w:sz w:val="28"/>
          <w:szCs w:val="28"/>
          <w:lang w:val="en" w:eastAsia="zh-CN"/>
        </w:rPr>
        <w:t>（项）：反映各部门安排的用于培训的支出。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default" w:ascii="仿宋_GB2312" w:eastAsia="仿宋_GB2312"/>
          <w:sz w:val="28"/>
          <w:szCs w:val="28"/>
          <w:lang w:val="en" w:eastAsia="zh-CN"/>
        </w:rPr>
        <w:t>社会保障和就业支出</w:t>
      </w:r>
      <w:r>
        <w:rPr>
          <w:rFonts w:hint="eastAsia" w:ascii="仿宋_GB2312" w:eastAsia="仿宋_GB2312"/>
          <w:sz w:val="28"/>
          <w:szCs w:val="28"/>
          <w:lang w:val="en" w:eastAsia="zh-CN"/>
        </w:rPr>
        <w:t>（类）</w:t>
      </w:r>
      <w:r>
        <w:rPr>
          <w:rFonts w:hint="eastAsia" w:ascii="仿宋_GB2312" w:eastAsia="仿宋_GB2312"/>
          <w:sz w:val="28"/>
          <w:szCs w:val="28"/>
          <w:lang w:val="en-US" w:eastAsia="zh-CN"/>
        </w:rPr>
        <w:t>行政事业单位养老支出（款）机关事业单位基本养老保险缴费支出</w:t>
      </w:r>
      <w:r>
        <w:rPr>
          <w:rFonts w:hint="eastAsia" w:ascii="仿宋_GB2312" w:eastAsia="仿宋_GB2312"/>
          <w:sz w:val="28"/>
          <w:szCs w:val="28"/>
          <w:lang w:val="en" w:eastAsia="zh-CN"/>
        </w:rPr>
        <w:t>（项）</w:t>
      </w:r>
      <w:r>
        <w:rPr>
          <w:rFonts w:hint="eastAsia" w:ascii="仿宋_GB2312" w:eastAsia="仿宋_GB2312"/>
          <w:sz w:val="28"/>
          <w:szCs w:val="28"/>
          <w:lang w:val="en-US" w:eastAsia="zh-CN"/>
        </w:rPr>
        <w:t>：反映机关事业单位实施养老保险制度由单位缴纳的基本养老保险费支出。</w:t>
      </w:r>
    </w:p>
    <w:p>
      <w:pPr>
        <w:ind w:firstLine="420" w:firstLineChars="150"/>
        <w:rPr>
          <w:rFonts w:hint="eastAsia" w:ascii="仿宋_GB2312" w:eastAsia="仿宋_GB2312"/>
          <w:sz w:val="28"/>
          <w:szCs w:val="28"/>
          <w:lang w:val="en" w:eastAsia="zh-CN"/>
        </w:rPr>
      </w:pPr>
      <w:r>
        <w:rPr>
          <w:rFonts w:hint="eastAsia" w:ascii="仿宋_GB2312" w:eastAsia="仿宋_GB2312"/>
          <w:sz w:val="28"/>
          <w:szCs w:val="28"/>
          <w:lang w:val="en-US" w:eastAsia="zh-CN"/>
        </w:rPr>
        <w:t>11</w:t>
      </w:r>
      <w:r>
        <w:rPr>
          <w:rFonts w:hint="default" w:ascii="仿宋_GB2312" w:eastAsia="仿宋_GB2312"/>
          <w:sz w:val="28"/>
          <w:szCs w:val="28"/>
          <w:lang w:val="en" w:eastAsia="zh-CN"/>
        </w:rPr>
        <w:t>.社会保障和就业支出</w:t>
      </w:r>
      <w:r>
        <w:rPr>
          <w:rFonts w:hint="eastAsia" w:ascii="仿宋_GB2312" w:eastAsia="仿宋_GB2312"/>
          <w:sz w:val="28"/>
          <w:szCs w:val="28"/>
          <w:lang w:val="en" w:eastAsia="zh-CN"/>
        </w:rPr>
        <w:t>（类）</w:t>
      </w:r>
      <w:r>
        <w:rPr>
          <w:rFonts w:hint="eastAsia" w:ascii="仿宋_GB2312" w:eastAsia="仿宋_GB2312"/>
          <w:sz w:val="28"/>
          <w:szCs w:val="28"/>
          <w:lang w:val="en-US" w:eastAsia="zh-CN"/>
        </w:rPr>
        <w:t>行政事业单位养老支出（款）机关事业单位职业年金缴费支出</w:t>
      </w:r>
      <w:r>
        <w:rPr>
          <w:rFonts w:hint="eastAsia" w:ascii="仿宋_GB2312" w:eastAsia="仿宋_GB2312"/>
          <w:sz w:val="28"/>
          <w:szCs w:val="28"/>
          <w:lang w:val="en" w:eastAsia="zh-CN"/>
        </w:rPr>
        <w:t>（项）</w:t>
      </w:r>
      <w:r>
        <w:rPr>
          <w:rFonts w:hint="eastAsia" w:ascii="仿宋_GB2312" w:eastAsia="仿宋_GB2312"/>
          <w:sz w:val="28"/>
          <w:szCs w:val="28"/>
          <w:lang w:val="en-US" w:eastAsia="zh-CN"/>
        </w:rPr>
        <w:t>：</w:t>
      </w:r>
      <w:r>
        <w:rPr>
          <w:rFonts w:hint="eastAsia" w:ascii="仿宋_GB2312" w:eastAsia="仿宋_GB2312"/>
          <w:sz w:val="28"/>
          <w:szCs w:val="28"/>
          <w:lang w:val="en" w:eastAsia="zh-CN"/>
        </w:rPr>
        <w:t>反映机关事业单位实施养老保险制度由单位实际缴纳的职业年金支出（含职业年金补记支出）。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w:t>
      </w:r>
      <w:r>
        <w:rPr>
          <w:rFonts w:hint="default" w:ascii="仿宋_GB2312" w:eastAsia="仿宋_GB2312"/>
          <w:sz w:val="28"/>
          <w:szCs w:val="28"/>
          <w:lang w:val="en-US" w:eastAsia="zh-CN"/>
        </w:rPr>
        <w:t>卫生健康支出</w:t>
      </w:r>
      <w:r>
        <w:rPr>
          <w:rFonts w:hint="eastAsia" w:ascii="仿宋_GB2312" w:eastAsia="仿宋_GB2312"/>
          <w:sz w:val="28"/>
          <w:szCs w:val="28"/>
          <w:lang w:val="en" w:eastAsia="zh-CN"/>
        </w:rPr>
        <w:t>（类）</w:t>
      </w:r>
      <w:r>
        <w:rPr>
          <w:rFonts w:hint="eastAsia" w:ascii="仿宋_GB2312" w:eastAsia="仿宋_GB2312"/>
          <w:sz w:val="28"/>
          <w:szCs w:val="28"/>
          <w:lang w:val="en-US" w:eastAsia="zh-CN"/>
        </w:rPr>
        <w:t>行政事业单位医疗（款）事业单位医疗</w:t>
      </w:r>
      <w:r>
        <w:rPr>
          <w:rFonts w:hint="eastAsia" w:ascii="仿宋_GB2312" w:eastAsia="仿宋_GB2312"/>
          <w:sz w:val="28"/>
          <w:szCs w:val="28"/>
          <w:lang w:val="en" w:eastAsia="zh-CN"/>
        </w:rPr>
        <w:t>（项）</w:t>
      </w:r>
      <w:r>
        <w:rPr>
          <w:rFonts w:hint="eastAsia" w:ascii="仿宋_GB2312" w:eastAsia="仿宋_GB2312"/>
          <w:sz w:val="28"/>
          <w:szCs w:val="28"/>
          <w:lang w:val="en-US" w:eastAsia="zh-CN"/>
        </w:rPr>
        <w:t>：反映财政部门安排的事业单位基本医疗保险缴费经费，未参加医疗保险的事业单位的公费医疗经费，按国家规定享受离休人员待遇的医疗经费。</w:t>
      </w:r>
    </w:p>
    <w:p>
      <w:pPr>
        <w:pStyle w:val="2"/>
        <w:rPr>
          <w:rFonts w:hint="eastAsia"/>
        </w:rPr>
      </w:pPr>
    </w:p>
    <w:p>
      <w:pPr>
        <w:jc w:val="both"/>
        <w:rPr>
          <w:rFonts w:hint="eastAsia" w:ascii="黑体" w:eastAsia="黑体"/>
          <w:sz w:val="32"/>
          <w:szCs w:val="32"/>
        </w:rPr>
      </w:pPr>
    </w:p>
    <w:p>
      <w:pPr>
        <w:pStyle w:val="2"/>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8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4FBB2C3"/>
    <w:rsid w:val="079004AC"/>
    <w:rsid w:val="0BA148CA"/>
    <w:rsid w:val="0C1165C4"/>
    <w:rsid w:val="0D6D544B"/>
    <w:rsid w:val="0DD136FE"/>
    <w:rsid w:val="0F8E2C57"/>
    <w:rsid w:val="1059665E"/>
    <w:rsid w:val="10AC13BA"/>
    <w:rsid w:val="145A6C1B"/>
    <w:rsid w:val="14B73493"/>
    <w:rsid w:val="167A2FF9"/>
    <w:rsid w:val="17D590AC"/>
    <w:rsid w:val="18581C69"/>
    <w:rsid w:val="1AEC0734"/>
    <w:rsid w:val="1DEF20B0"/>
    <w:rsid w:val="214243FA"/>
    <w:rsid w:val="21AD613C"/>
    <w:rsid w:val="22467189"/>
    <w:rsid w:val="257A14F5"/>
    <w:rsid w:val="27196C26"/>
    <w:rsid w:val="29EF086F"/>
    <w:rsid w:val="2EFFE297"/>
    <w:rsid w:val="301437CA"/>
    <w:rsid w:val="349D1F0A"/>
    <w:rsid w:val="34DD0473"/>
    <w:rsid w:val="370DED8A"/>
    <w:rsid w:val="37DFC5A1"/>
    <w:rsid w:val="39D31A14"/>
    <w:rsid w:val="3ADBE5B0"/>
    <w:rsid w:val="3C684897"/>
    <w:rsid w:val="3EAD0600"/>
    <w:rsid w:val="3EFB53DA"/>
    <w:rsid w:val="433E495C"/>
    <w:rsid w:val="489F2FD7"/>
    <w:rsid w:val="4AC27CB3"/>
    <w:rsid w:val="4BF72BEF"/>
    <w:rsid w:val="4FA90297"/>
    <w:rsid w:val="4FC41A43"/>
    <w:rsid w:val="51DB3C59"/>
    <w:rsid w:val="537F22A0"/>
    <w:rsid w:val="550C0952"/>
    <w:rsid w:val="55762E42"/>
    <w:rsid w:val="55EFC05F"/>
    <w:rsid w:val="57A7B272"/>
    <w:rsid w:val="58470068"/>
    <w:rsid w:val="58747CAC"/>
    <w:rsid w:val="5A1720F9"/>
    <w:rsid w:val="5B9C37C2"/>
    <w:rsid w:val="5BA7C654"/>
    <w:rsid w:val="5BFF214B"/>
    <w:rsid w:val="60A54109"/>
    <w:rsid w:val="61D01CDF"/>
    <w:rsid w:val="64C0607C"/>
    <w:rsid w:val="65756C86"/>
    <w:rsid w:val="674D385B"/>
    <w:rsid w:val="676F09E1"/>
    <w:rsid w:val="693B0494"/>
    <w:rsid w:val="6F9E2B8A"/>
    <w:rsid w:val="6FEF9904"/>
    <w:rsid w:val="6FFFDDDF"/>
    <w:rsid w:val="7357290B"/>
    <w:rsid w:val="777D1781"/>
    <w:rsid w:val="77AB8255"/>
    <w:rsid w:val="798524E4"/>
    <w:rsid w:val="7A7F1C49"/>
    <w:rsid w:val="7B5B7AE6"/>
    <w:rsid w:val="7B7B6628"/>
    <w:rsid w:val="7BA7071E"/>
    <w:rsid w:val="7BDF6DA8"/>
    <w:rsid w:val="7C7EDC1A"/>
    <w:rsid w:val="7CCED98D"/>
    <w:rsid w:val="7D08410F"/>
    <w:rsid w:val="7D6E9E9F"/>
    <w:rsid w:val="7DB96DED"/>
    <w:rsid w:val="7DD3AD81"/>
    <w:rsid w:val="7DDE62BD"/>
    <w:rsid w:val="7E6E851F"/>
    <w:rsid w:val="7F7FE70F"/>
    <w:rsid w:val="7FFF12FD"/>
    <w:rsid w:val="7FFF772F"/>
    <w:rsid w:val="95F35EF6"/>
    <w:rsid w:val="9BFFD860"/>
    <w:rsid w:val="ABF54C9B"/>
    <w:rsid w:val="AC5F73DE"/>
    <w:rsid w:val="ADDF3CC8"/>
    <w:rsid w:val="AEBBFF6D"/>
    <w:rsid w:val="B3BD009E"/>
    <w:rsid w:val="B5DDD2C8"/>
    <w:rsid w:val="B9DFABD9"/>
    <w:rsid w:val="BC0D83FC"/>
    <w:rsid w:val="BDF59689"/>
    <w:rsid w:val="BF3BDEFB"/>
    <w:rsid w:val="BF7F7621"/>
    <w:rsid w:val="BFFCD240"/>
    <w:rsid w:val="C75F6086"/>
    <w:rsid w:val="C7F7ED2D"/>
    <w:rsid w:val="C7FDC993"/>
    <w:rsid w:val="CFAF854E"/>
    <w:rsid w:val="D8D7928E"/>
    <w:rsid w:val="D8FE3136"/>
    <w:rsid w:val="DBABCC33"/>
    <w:rsid w:val="DDDE60B7"/>
    <w:rsid w:val="DE9F6A22"/>
    <w:rsid w:val="DF4FCE6A"/>
    <w:rsid w:val="E4FED278"/>
    <w:rsid w:val="EDAA365C"/>
    <w:rsid w:val="EDADFC12"/>
    <w:rsid w:val="EEFF10B4"/>
    <w:rsid w:val="EFFF9381"/>
    <w:rsid w:val="F2FD229B"/>
    <w:rsid w:val="F7F709E9"/>
    <w:rsid w:val="F7FDB464"/>
    <w:rsid w:val="F7FF3690"/>
    <w:rsid w:val="F9BD3900"/>
    <w:rsid w:val="FB7E6680"/>
    <w:rsid w:val="FC8B9876"/>
    <w:rsid w:val="FEDFF218"/>
    <w:rsid w:val="FEDFFFFF"/>
    <w:rsid w:val="FF2A6468"/>
    <w:rsid w:val="FFB7FE0C"/>
    <w:rsid w:val="FFCFD669"/>
    <w:rsid w:val="FFD70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 收入决算</a:t>
            </a:r>
          </a:p>
        </c:rich>
      </c:tx>
      <c:layout/>
      <c:overlay val="false"/>
      <c:spPr>
        <a:noFill/>
        <a:ln>
          <a:noFill/>
        </a:ln>
        <a:effectLst/>
      </c:spPr>
    </c:title>
    <c:autoTitleDeleted val="false"/>
    <c:plotArea>
      <c:layout/>
      <c:pieChart>
        <c:varyColors val="true"/>
        <c:ser>
          <c:idx val="0"/>
          <c:order val="0"/>
          <c:tx>
            <c:strRef>
              <c:f>Sheet1!$B$1</c:f>
              <c:strCache>
                <c:ptCount val="1"/>
                <c:pt idx="0">
                  <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0.00%</c:formatCode>
                <c:ptCount val="2"/>
                <c:pt idx="0">
                  <c:v>0.9999</c:v>
                </c:pt>
                <c:pt idx="1">
                  <c:v>0.0001</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654.8</c:v>
                </c:pt>
                <c:pt idx="1">
                  <c:v>98.78</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0</TotalTime>
  <ScaleCrop>false</ScaleCrop>
  <LinksUpToDate>false</LinksUpToDate>
  <CharactersWithSpaces>5779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sfj</cp:lastModifiedBy>
  <cp:lastPrinted>2020-08-09T19:39:00Z</cp:lastPrinted>
  <dcterms:modified xsi:type="dcterms:W3CDTF">2025-09-09T15:08:40Z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