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r>
        <w:rPr>
          <w:rFonts w:hint="eastAsia" w:ascii="黑体" w:eastAsia="黑体"/>
          <w:sz w:val="72"/>
          <w:szCs w:val="72"/>
          <w:lang w:val="en-US" w:eastAsia="zh-CN"/>
        </w:rPr>
        <w:t>北京市法律援助中心</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pStyle w:val="2"/>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pStyle w:val="2"/>
        <w:rPr>
          <w:rFonts w:ascii="宋体" w:hAnsi="宋体" w:cs="宋体"/>
          <w:b/>
          <w:bCs/>
          <w:spacing w:val="40"/>
          <w:kern w:val="0"/>
          <w:sz w:val="32"/>
          <w:szCs w:val="32"/>
        </w:rPr>
      </w:pPr>
    </w:p>
    <w:p>
      <w:pPr>
        <w:rPr>
          <w:rFonts w:ascii="宋体" w:hAnsi="宋体" w:cs="宋体"/>
          <w:b/>
          <w:bCs/>
          <w:spacing w:val="40"/>
          <w:kern w:val="0"/>
          <w:sz w:val="32"/>
          <w:szCs w:val="32"/>
        </w:rPr>
      </w:pPr>
    </w:p>
    <w:p>
      <w:pPr>
        <w:pStyle w:val="2"/>
        <w:rPr>
          <w:rFonts w:ascii="宋体" w:hAnsi="宋体" w:cs="宋体"/>
          <w:b/>
          <w:bCs/>
          <w:spacing w:val="40"/>
          <w:kern w:val="0"/>
          <w:sz w:val="32"/>
          <w:szCs w:val="32"/>
        </w:rPr>
      </w:pPr>
    </w:p>
    <w:p>
      <w:pPr>
        <w:rPr>
          <w:rFonts w:ascii="宋体" w:hAnsi="宋体" w:cs="宋体"/>
          <w:b/>
          <w:bCs/>
          <w:spacing w:val="40"/>
          <w:kern w:val="0"/>
          <w:sz w:val="32"/>
          <w:szCs w:val="32"/>
        </w:rPr>
      </w:pPr>
    </w:p>
    <w:p>
      <w:pPr>
        <w:pStyle w:val="2"/>
        <w:rPr>
          <w:rFonts w:ascii="宋体" w:hAnsi="宋体" w:cs="宋体"/>
          <w:b/>
          <w:bCs/>
          <w:spacing w:val="40"/>
          <w:kern w:val="0"/>
          <w:sz w:val="32"/>
          <w:szCs w:val="32"/>
        </w:rPr>
      </w:pPr>
    </w:p>
    <w:p>
      <w:pPr>
        <w:rPr>
          <w:rFonts w:ascii="宋体" w:hAnsi="宋体" w:cs="宋体"/>
          <w:b/>
          <w:bCs/>
          <w:spacing w:val="40"/>
          <w:kern w:val="0"/>
          <w:sz w:val="32"/>
          <w:szCs w:val="32"/>
        </w:rPr>
      </w:pPr>
    </w:p>
    <w:p>
      <w:pPr>
        <w:pStyle w:val="2"/>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北京市法律援助中心是全额拨款的事业单位，是北京市司法局直属单位，2005年5月批准依照公务员管理，2018年4月加挂北京市公共法律服务中心牌子。主要职责为：依法向符合规定的公民提供法律援助，承担公共法律服务平台运行管理工作，提供司法行政相关法律服务。</w:t>
      </w:r>
    </w:p>
    <w:p>
      <w:pPr>
        <w:tabs>
          <w:tab w:val="center" w:pos="6979"/>
        </w:tabs>
        <w:spacing w:line="580" w:lineRule="exact"/>
        <w:ind w:firstLine="420" w:firstLineChars="15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北京市法律援助中心内设5个科室，分别为：办公室、法律援助工作科、12348热线平台管理科、实体平台管理科、网络平台及数据管理科。</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3900.57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209.26</w:t>
      </w:r>
      <w:r>
        <w:rPr>
          <w:rFonts w:hint="eastAsia" w:ascii="仿宋_GB2312" w:eastAsia="仿宋_GB2312"/>
          <w:sz w:val="28"/>
          <w:szCs w:val="28"/>
        </w:rPr>
        <w:t>万元，增长</w:t>
      </w:r>
      <w:r>
        <w:rPr>
          <w:rFonts w:hint="eastAsia" w:ascii="仿宋_GB2312" w:eastAsia="仿宋_GB2312"/>
          <w:sz w:val="28"/>
          <w:szCs w:val="28"/>
          <w:lang w:val="en-US" w:eastAsia="zh-CN"/>
        </w:rPr>
        <w:t>5.67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3885.96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195.43</w:t>
      </w:r>
      <w:r>
        <w:rPr>
          <w:rFonts w:hint="eastAsia" w:ascii="仿宋_GB2312" w:eastAsia="仿宋_GB2312"/>
          <w:sz w:val="28"/>
          <w:szCs w:val="28"/>
        </w:rPr>
        <w:t>万元，增长</w:t>
      </w:r>
      <w:r>
        <w:rPr>
          <w:rFonts w:hint="eastAsia" w:ascii="仿宋_GB2312" w:eastAsia="仿宋_GB2312"/>
          <w:sz w:val="28"/>
          <w:szCs w:val="28"/>
          <w:lang w:val="en-US" w:eastAsia="zh-CN"/>
        </w:rPr>
        <w:t>5.30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3885.64</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3885.64</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0.32</w:t>
      </w:r>
      <w:r>
        <w:rPr>
          <w:rFonts w:hint="eastAsia" w:ascii="仿宋_GB2312" w:eastAsia="仿宋_GB2312"/>
          <w:sz w:val="28"/>
          <w:szCs w:val="28"/>
        </w:rPr>
        <w:t>万元，占收入合计的</w:t>
      </w:r>
      <w:r>
        <w:rPr>
          <w:rFonts w:hint="eastAsia" w:ascii="仿宋_GB2312" w:eastAsia="仿宋_GB2312"/>
          <w:sz w:val="28"/>
          <w:szCs w:val="28"/>
          <w:lang w:eastAsia="zh-CN"/>
        </w:rPr>
        <w:t>0.01</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3834.64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228.50</w:t>
      </w:r>
      <w:r>
        <w:rPr>
          <w:rFonts w:hint="eastAsia" w:ascii="仿宋_GB2312" w:eastAsia="仿宋_GB2312"/>
          <w:sz w:val="28"/>
          <w:szCs w:val="28"/>
        </w:rPr>
        <w:t>万元，增长</w:t>
      </w:r>
      <w:r>
        <w:rPr>
          <w:rFonts w:hint="eastAsia" w:ascii="仿宋_GB2312" w:eastAsia="仿宋_GB2312"/>
          <w:sz w:val="28"/>
          <w:szCs w:val="28"/>
          <w:lang w:val="en-US" w:eastAsia="zh-CN"/>
        </w:rPr>
        <w:t>6.34</w:t>
      </w:r>
      <w:r>
        <w:rPr>
          <w:rFonts w:hint="eastAsia" w:ascii="仿宋_GB2312" w:eastAsia="仿宋_GB2312"/>
          <w:sz w:val="28"/>
          <w:szCs w:val="28"/>
        </w:rPr>
        <w:t>%，其中：基本支出</w:t>
      </w:r>
      <w:r>
        <w:rPr>
          <w:rFonts w:ascii="仿宋_GB2312" w:eastAsia="仿宋_GB2312"/>
          <w:sz w:val="28"/>
          <w:szCs w:val="28"/>
        </w:rPr>
        <w:t>1247.69</w:t>
      </w:r>
      <w:r>
        <w:rPr>
          <w:rFonts w:hint="eastAsia" w:ascii="仿宋_GB2312" w:eastAsia="仿宋_GB2312"/>
          <w:sz w:val="28"/>
          <w:szCs w:val="28"/>
        </w:rPr>
        <w:t>万元，占支出合计的</w:t>
      </w:r>
      <w:r>
        <w:rPr>
          <w:rFonts w:hint="eastAsia" w:ascii="仿宋_GB2312" w:eastAsia="仿宋_GB2312"/>
          <w:sz w:val="28"/>
          <w:szCs w:val="28"/>
          <w:lang w:eastAsia="zh-CN"/>
        </w:rPr>
        <w:t>32.54</w:t>
      </w:r>
      <w:r>
        <w:rPr>
          <w:rFonts w:hint="eastAsia" w:ascii="仿宋_GB2312" w:eastAsia="仿宋_GB2312"/>
          <w:sz w:val="28"/>
          <w:szCs w:val="28"/>
        </w:rPr>
        <w:t>%；项目支出</w:t>
      </w:r>
      <w:r>
        <w:rPr>
          <w:rFonts w:ascii="仿宋_GB2312" w:eastAsia="仿宋_GB2312"/>
          <w:sz w:val="28"/>
          <w:szCs w:val="28"/>
        </w:rPr>
        <w:t>2586.95</w:t>
      </w:r>
      <w:r>
        <w:rPr>
          <w:rFonts w:hint="eastAsia" w:ascii="仿宋_GB2312" w:eastAsia="仿宋_GB2312"/>
          <w:sz w:val="28"/>
          <w:szCs w:val="28"/>
        </w:rPr>
        <w:t>万元，占支出合计的</w:t>
      </w:r>
      <w:r>
        <w:rPr>
          <w:rFonts w:hint="eastAsia" w:ascii="仿宋_GB2312" w:eastAsia="仿宋_GB2312"/>
          <w:sz w:val="28"/>
          <w:szCs w:val="28"/>
          <w:lang w:eastAsia="zh-CN"/>
        </w:rPr>
        <w:t>67.46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3899.83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209.74</w:t>
      </w:r>
      <w:r>
        <w:rPr>
          <w:rFonts w:hint="eastAsia" w:ascii="仿宋_GB2312" w:eastAsia="仿宋_GB2312"/>
          <w:sz w:val="28"/>
          <w:szCs w:val="28"/>
        </w:rPr>
        <w:t>万元，增长</w:t>
      </w:r>
      <w:r>
        <w:rPr>
          <w:rFonts w:hint="eastAsia" w:ascii="仿宋_GB2312" w:eastAsia="仿宋_GB2312"/>
          <w:sz w:val="28"/>
          <w:szCs w:val="28"/>
          <w:lang w:val="en-US" w:eastAsia="zh-CN"/>
        </w:rPr>
        <w:t>5.68</w:t>
      </w:r>
      <w:r>
        <w:rPr>
          <w:rFonts w:hint="eastAsia" w:ascii="仿宋_GB2312" w:eastAsia="仿宋_GB2312"/>
          <w:sz w:val="28"/>
          <w:szCs w:val="28"/>
        </w:rPr>
        <w:t>%。主要原因：</w:t>
      </w:r>
      <w:r>
        <w:rPr>
          <w:rFonts w:hint="eastAsia" w:ascii="仿宋_GB2312" w:eastAsia="仿宋_GB2312"/>
          <w:sz w:val="28"/>
          <w:szCs w:val="28"/>
          <w:lang w:eastAsia="zh-CN"/>
        </w:rPr>
        <w:t>因业务开展需要增加相应项目支出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3834.14</w:t>
      </w:r>
      <w:r>
        <w:rPr>
          <w:rFonts w:hint="eastAsia" w:ascii="仿宋_GB2312" w:eastAsia="仿宋_GB2312"/>
          <w:sz w:val="28"/>
          <w:szCs w:val="28"/>
        </w:rPr>
        <w:t>万元，主要用于以下方面（按大类）：公共安全支出</w:t>
      </w:r>
      <w:r>
        <w:rPr>
          <w:rFonts w:hint="eastAsia" w:ascii="仿宋_GB2312" w:eastAsia="仿宋_GB2312"/>
          <w:sz w:val="28"/>
          <w:szCs w:val="28"/>
          <w:lang w:val="en-US" w:eastAsia="zh-CN"/>
        </w:rPr>
        <w:t>3624.08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94.52</w:t>
      </w: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1.23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0.03</w:t>
      </w:r>
      <w:r>
        <w:rPr>
          <w:rFonts w:hint="eastAsia" w:ascii="仿宋_GB2312" w:eastAsia="仿宋_GB2312"/>
          <w:sz w:val="28"/>
          <w:szCs w:val="28"/>
        </w:rPr>
        <w:t>%；社会保障和就业支出</w:t>
      </w:r>
      <w:r>
        <w:rPr>
          <w:rFonts w:hint="eastAsia" w:ascii="仿宋_GB2312" w:eastAsia="仿宋_GB2312"/>
          <w:sz w:val="28"/>
          <w:szCs w:val="28"/>
          <w:lang w:val="en-US" w:eastAsia="zh-CN"/>
        </w:rPr>
        <w:t>126.68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3.31</w:t>
      </w:r>
      <w:r>
        <w:rPr>
          <w:rFonts w:hint="eastAsia" w:ascii="仿宋_GB2312" w:eastAsia="仿宋_GB2312"/>
          <w:sz w:val="28"/>
          <w:szCs w:val="28"/>
        </w:rPr>
        <w:t>%；卫生健康支出</w:t>
      </w:r>
      <w:r>
        <w:rPr>
          <w:rFonts w:hint="eastAsia" w:ascii="仿宋_GB2312" w:eastAsia="仿宋_GB2312"/>
          <w:sz w:val="28"/>
          <w:szCs w:val="28"/>
          <w:lang w:val="en-US" w:eastAsia="zh-CN"/>
        </w:rPr>
        <w:t>82.15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2.14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1、“公共安全支出”202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3713.81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3624.08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97.58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hAnsi="Times New Roman" w:eastAsia="仿宋_GB2312" w:cs="Times New Roman"/>
          <w:b w:val="0"/>
          <w:color w:val="000000"/>
          <w:kern w:val="2"/>
          <w:sz w:val="28"/>
          <w:szCs w:val="28"/>
          <w:lang w:val="en-US" w:eastAsia="zh-CN" w:bidi="ar-SA"/>
        </w:rPr>
      </w:pPr>
      <w:r>
        <w:rPr>
          <w:rFonts w:hint="eastAsia" w:ascii="仿宋_GB2312" w:eastAsia="仿宋_GB2312"/>
          <w:sz w:val="28"/>
          <w:szCs w:val="28"/>
        </w:rPr>
        <w:t>其中：</w:t>
      </w:r>
      <w:r>
        <w:rPr>
          <w:rFonts w:hint="eastAsia" w:ascii="仿宋_GB2312" w:eastAsia="仿宋_GB2312"/>
          <w:color w:val="000000"/>
          <w:sz w:val="28"/>
          <w:szCs w:val="28"/>
        </w:rPr>
        <w:t>“司法支出</w:t>
      </w:r>
      <w:r>
        <w:rPr>
          <w:rFonts w:hint="default" w:ascii="仿宋_GB2312" w:eastAsia="仿宋_GB2312"/>
          <w:color w:val="000000"/>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3713.81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3624.08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97.58</w:t>
      </w:r>
      <w:r>
        <w:rPr>
          <w:rFonts w:hint="eastAsia" w:ascii="仿宋_GB2312" w:eastAsia="仿宋_GB2312"/>
          <w:sz w:val="28"/>
          <w:szCs w:val="28"/>
        </w:rPr>
        <w:t>%。</w:t>
      </w:r>
      <w:r>
        <w:rPr>
          <w:rFonts w:hint="eastAsia" w:ascii="仿宋_GB2312" w:hAnsi="Times New Roman" w:eastAsia="仿宋_GB2312" w:cs="Times New Roman"/>
          <w:b w:val="0"/>
          <w:color w:val="000000"/>
          <w:kern w:val="2"/>
          <w:sz w:val="28"/>
          <w:szCs w:val="28"/>
          <w:lang w:val="en-US" w:eastAsia="zh-CN" w:bidi="ar-SA"/>
        </w:rPr>
        <w:t>主要原因：</w:t>
      </w:r>
      <w:r>
        <w:rPr>
          <w:rFonts w:hint="eastAsia" w:ascii="仿宋_GB2312" w:eastAsia="仿宋_GB2312"/>
          <w:sz w:val="28"/>
          <w:szCs w:val="28"/>
        </w:rPr>
        <w:t>落实过紧日子、压缩一般性支出要求，减少相关预算支出。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53.02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其中：“进修及培训支出”202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53.02</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rPr>
        <w:t>落实压缩一般性支出要求，压缩部门培训支出。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134.07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126.68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94.49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134.07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126.68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94.49</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rPr>
        <w:t>因</w:t>
      </w:r>
      <w:r>
        <w:rPr>
          <w:rFonts w:hint="eastAsia" w:ascii="仿宋_GB2312" w:eastAsia="仿宋_GB2312"/>
          <w:sz w:val="28"/>
          <w:szCs w:val="28"/>
          <w:lang w:eastAsia="zh-CN"/>
        </w:rPr>
        <w:t>人员调出及退休</w:t>
      </w:r>
      <w:r>
        <w:rPr>
          <w:rFonts w:hint="eastAsia" w:ascii="仿宋_GB2312" w:eastAsia="仿宋_GB2312"/>
          <w:sz w:val="28"/>
          <w:szCs w:val="28"/>
        </w:rPr>
        <w:t>，各项社保缴费</w:t>
      </w:r>
      <w:r>
        <w:rPr>
          <w:rFonts w:hint="eastAsia" w:ascii="仿宋_GB2312" w:eastAsia="仿宋_GB2312"/>
          <w:sz w:val="28"/>
          <w:szCs w:val="28"/>
          <w:lang w:eastAsia="zh-CN"/>
        </w:rPr>
        <w:t>减少。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hAnsi="Times New Roman" w:eastAsia="仿宋_GB2312" w:cs="Times New Roman"/>
          <w:b w:val="0"/>
          <w:kern w:val="2"/>
          <w:sz w:val="28"/>
          <w:szCs w:val="28"/>
          <w:lang w:val="en-US" w:eastAsia="zh-CN" w:bidi="ar-SA"/>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91.35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82.15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89.93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r>
        <w:rPr>
          <w:rFonts w:hint="eastAsia" w:ascii="仿宋_GB2312" w:hAnsi="Times New Roman" w:eastAsia="仿宋_GB2312" w:cs="Times New Roman"/>
          <w:b w:val="0"/>
          <w:kern w:val="2"/>
          <w:sz w:val="28"/>
          <w:szCs w:val="28"/>
          <w:lang w:val="en-US" w:eastAsia="zh-CN" w:bidi="ar-SA"/>
        </w:rPr>
        <w:t>行政单位医疗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91.35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82.15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89.93</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hAnsi="Times New Roman" w:eastAsia="仿宋_GB2312" w:cs="Times New Roman"/>
          <w:b w:val="0"/>
          <w:kern w:val="2"/>
          <w:sz w:val="28"/>
          <w:szCs w:val="28"/>
          <w:lang w:val="en-US" w:eastAsia="zh-CN" w:bidi="ar-SA"/>
        </w:rPr>
        <w:t>因</w:t>
      </w:r>
      <w:r>
        <w:rPr>
          <w:rFonts w:hint="eastAsia" w:ascii="仿宋_GB2312" w:eastAsia="仿宋_GB2312"/>
          <w:sz w:val="28"/>
          <w:szCs w:val="28"/>
          <w:lang w:eastAsia="zh-CN"/>
        </w:rPr>
        <w:t>人员调出及退休</w:t>
      </w:r>
      <w:r>
        <w:rPr>
          <w:rFonts w:hint="eastAsia" w:ascii="仿宋_GB2312" w:hAnsi="Times New Roman" w:eastAsia="仿宋_GB2312" w:cs="Times New Roman"/>
          <w:b w:val="0"/>
          <w:kern w:val="2"/>
          <w:sz w:val="28"/>
          <w:szCs w:val="28"/>
          <w:lang w:val="en-US" w:eastAsia="zh-CN" w:bidi="ar-SA"/>
        </w:rPr>
        <w:t>，医疗保险缴费减少。</w:t>
      </w:r>
    </w:p>
    <w:p>
      <w:pPr>
        <w:pStyle w:val="2"/>
        <w:rPr>
          <w:rFonts w:hint="eastAsia"/>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我单位无政府性基金预算财政拨款支出</w:t>
      </w:r>
      <w:r>
        <w:rPr>
          <w:rFonts w:hint="eastAsia" w:ascii="仿宋_GB2312" w:hAnsi="仿宋_GB2312" w:eastAsia="仿宋_GB2312" w:cs="仿宋_GB2312"/>
          <w:bCs/>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我单位无国有资本经营预算财政拨款支出。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1247.19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我单位</w:t>
      </w:r>
      <w:r>
        <w:rPr>
          <w:rFonts w:hint="eastAsia" w:ascii="仿宋_GB2312" w:eastAsia="仿宋_GB2312"/>
          <w:sz w:val="28"/>
          <w:szCs w:val="28"/>
          <w:lang w:val="en-US" w:eastAsia="zh-CN"/>
        </w:rPr>
        <w:t>2024年度</w:t>
      </w:r>
      <w:r>
        <w:rPr>
          <w:rFonts w:hint="eastAsia" w:ascii="仿宋_GB2312" w:eastAsia="仿宋_GB2312"/>
          <w:sz w:val="28"/>
          <w:szCs w:val="28"/>
        </w:rPr>
        <w:t>无</w:t>
      </w:r>
      <w:r>
        <w:rPr>
          <w:rFonts w:hint="eastAsia" w:ascii="仿宋_GB2312" w:eastAsia="仿宋_GB2312"/>
          <w:sz w:val="28"/>
          <w:szCs w:val="28"/>
          <w:lang w:eastAsia="zh-CN"/>
        </w:rPr>
        <w:t>“三公”经费</w:t>
      </w:r>
      <w:r>
        <w:rPr>
          <w:rFonts w:hint="eastAsia" w:ascii="仿宋_GB2312" w:eastAsia="仿宋_GB2312"/>
          <w:sz w:val="28"/>
          <w:szCs w:val="28"/>
        </w:rPr>
        <w:t>财政拨款支出。</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206.70</w:t>
      </w:r>
      <w:r>
        <w:rPr>
          <w:rFonts w:hint="eastAsia" w:ascii="仿宋_GB2312" w:eastAsia="仿宋_GB2312"/>
          <w:sz w:val="28"/>
          <w:szCs w:val="28"/>
        </w:rPr>
        <w:t>万元，比上年增加</w:t>
      </w:r>
      <w:r>
        <w:rPr>
          <w:rFonts w:hint="eastAsia" w:ascii="仿宋_GB2312" w:eastAsia="仿宋_GB2312"/>
          <w:sz w:val="28"/>
          <w:szCs w:val="28"/>
          <w:lang w:val="en-US" w:eastAsia="zh-CN"/>
        </w:rPr>
        <w:t>8.61</w:t>
      </w:r>
      <w:r>
        <w:rPr>
          <w:rFonts w:hint="eastAsia" w:ascii="仿宋_GB2312" w:eastAsia="仿宋_GB2312"/>
          <w:sz w:val="28"/>
          <w:szCs w:val="28"/>
        </w:rPr>
        <w:t>万元，增加原因：</w:t>
      </w:r>
      <w:r>
        <w:rPr>
          <w:rFonts w:hint="eastAsia" w:ascii="仿宋_GB2312" w:eastAsia="仿宋_GB2312"/>
          <w:sz w:val="28"/>
          <w:szCs w:val="28"/>
          <w:lang w:eastAsia="zh-CN"/>
        </w:rPr>
        <w:t>新的物业</w:t>
      </w:r>
      <w:r>
        <w:rPr>
          <w:rFonts w:hint="eastAsia" w:ascii="仿宋_GB2312" w:eastAsia="仿宋_GB2312"/>
          <w:sz w:val="28"/>
          <w:szCs w:val="28"/>
          <w:highlight w:val="none"/>
          <w:lang w:eastAsia="zh-CN"/>
        </w:rPr>
        <w:t>合同周期有所变化。</w:t>
      </w:r>
      <w:bookmarkStart w:id="0" w:name="_GoBack"/>
      <w:bookmarkEnd w:id="0"/>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411.21</w:t>
      </w:r>
      <w:r>
        <w:rPr>
          <w:rFonts w:hint="eastAsia" w:ascii="仿宋_GB2312" w:eastAsia="仿宋_GB2312"/>
          <w:sz w:val="28"/>
          <w:szCs w:val="28"/>
        </w:rPr>
        <w:t>万元，其中：政府采购货物支出</w:t>
      </w:r>
      <w:r>
        <w:rPr>
          <w:rFonts w:ascii="仿宋_GB2312" w:eastAsia="仿宋_GB2312"/>
          <w:sz w:val="28"/>
          <w:szCs w:val="28"/>
        </w:rPr>
        <w:t>0.65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410.56</w:t>
      </w:r>
      <w:r>
        <w:rPr>
          <w:rFonts w:hint="eastAsia" w:ascii="仿宋_GB2312" w:eastAsia="仿宋_GB2312"/>
          <w:sz w:val="28"/>
          <w:szCs w:val="28"/>
        </w:rPr>
        <w:t>万元。授予中小企业合同金额</w:t>
      </w:r>
      <w:r>
        <w:rPr>
          <w:rFonts w:ascii="仿宋_GB2312" w:eastAsia="仿宋_GB2312"/>
          <w:sz w:val="28"/>
          <w:szCs w:val="28"/>
        </w:rPr>
        <w:t>392.35</w:t>
      </w:r>
      <w:r>
        <w:rPr>
          <w:rFonts w:hint="eastAsia" w:ascii="仿宋_GB2312" w:eastAsia="仿宋_GB2312"/>
          <w:sz w:val="28"/>
          <w:szCs w:val="28"/>
        </w:rPr>
        <w:t>万元，占政府采购支出总额的</w:t>
      </w:r>
      <w:r>
        <w:rPr>
          <w:rFonts w:hint="eastAsia" w:ascii="仿宋_GB2312" w:eastAsia="仿宋_GB2312"/>
          <w:sz w:val="28"/>
          <w:szCs w:val="28"/>
          <w:lang w:eastAsia="zh-CN"/>
        </w:rPr>
        <w:t>95.42</w:t>
      </w:r>
      <w:r>
        <w:rPr>
          <w:rFonts w:hint="eastAsia" w:ascii="仿宋_GB2312" w:eastAsia="仿宋_GB2312"/>
          <w:sz w:val="28"/>
          <w:szCs w:val="28"/>
        </w:rPr>
        <w:t>%，其中：授予小微企业合同金额</w:t>
      </w:r>
      <w:r>
        <w:rPr>
          <w:rFonts w:ascii="仿宋_GB2312" w:eastAsia="仿宋_GB2312"/>
          <w:sz w:val="28"/>
          <w:szCs w:val="28"/>
        </w:rPr>
        <w:t>260.58</w:t>
      </w:r>
      <w:r>
        <w:rPr>
          <w:rFonts w:hint="eastAsia" w:ascii="仿宋_GB2312" w:eastAsia="仿宋_GB2312"/>
          <w:sz w:val="28"/>
          <w:szCs w:val="28"/>
        </w:rPr>
        <w:t>万元，占政府采购支出总额的</w:t>
      </w:r>
      <w:r>
        <w:rPr>
          <w:rFonts w:ascii="仿宋_GB2312" w:eastAsia="仿宋_GB2312"/>
          <w:sz w:val="28"/>
          <w:szCs w:val="28"/>
        </w:rPr>
        <w:t>63.37</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12月31日，北京市法律援助中心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w:t>
      </w:r>
      <w:r>
        <w:rPr>
          <w:rFonts w:hint="eastAsia" w:ascii="仿宋_GB2312" w:hAnsi="Times New Roman" w:eastAsia="仿宋_GB2312" w:cs="Times New Roman"/>
          <w:sz w:val="28"/>
          <w:szCs w:val="28"/>
          <w:lang w:eastAsia="zh-CN"/>
        </w:rPr>
        <w:t>公共安全支出</w:t>
      </w:r>
      <w:r>
        <w:rPr>
          <w:rFonts w:hint="eastAsia" w:ascii="仿宋_GB2312" w:hAnsi="Times New Roman" w:eastAsia="仿宋_GB2312" w:cs="Times New Roman"/>
          <w:sz w:val="28"/>
          <w:szCs w:val="28"/>
        </w:rPr>
        <w:t>（类）</w:t>
      </w:r>
      <w:r>
        <w:rPr>
          <w:rFonts w:hint="eastAsia" w:ascii="仿宋_GB2312" w:hAnsi="Times New Roman" w:eastAsia="仿宋_GB2312" w:cs="Times New Roman"/>
          <w:sz w:val="28"/>
          <w:szCs w:val="28"/>
          <w:lang w:eastAsia="zh-CN"/>
        </w:rPr>
        <w:t>司法</w:t>
      </w:r>
      <w:r>
        <w:rPr>
          <w:rFonts w:hint="eastAsia" w:ascii="仿宋_GB2312" w:hAnsi="Times New Roman" w:eastAsia="仿宋_GB2312" w:cs="Times New Roman"/>
          <w:sz w:val="28"/>
          <w:szCs w:val="28"/>
        </w:rPr>
        <w:t>（款）</w:t>
      </w:r>
      <w:r>
        <w:rPr>
          <w:rFonts w:hint="eastAsia" w:ascii="仿宋_GB2312" w:hAnsi="Times New Roman" w:eastAsia="仿宋_GB2312" w:cs="Times New Roman"/>
          <w:sz w:val="28"/>
          <w:szCs w:val="28"/>
          <w:lang w:eastAsia="zh-CN"/>
        </w:rPr>
        <w:t>事业</w:t>
      </w:r>
      <w:r>
        <w:rPr>
          <w:rFonts w:hint="eastAsia" w:ascii="仿宋_GB2312" w:hAnsi="Times New Roman" w:eastAsia="仿宋_GB2312" w:cs="Times New Roman"/>
          <w:sz w:val="28"/>
          <w:szCs w:val="28"/>
        </w:rPr>
        <w:t>运行（项）：</w:t>
      </w:r>
      <w:r>
        <w:rPr>
          <w:rFonts w:hint="eastAsia" w:ascii="仿宋_GB2312" w:hAnsi="Times New Roman" w:eastAsia="仿宋_GB2312" w:cs="Times New Roman"/>
          <w:sz w:val="28"/>
          <w:szCs w:val="28"/>
          <w:lang w:eastAsia="zh-CN"/>
        </w:rPr>
        <w:t>反映事业单位的基本支出，不包括行政单位（包括实行公务员管理的事业单位）后勤服务中心、医务室等附属事业单位</w:t>
      </w:r>
      <w:r>
        <w:rPr>
          <w:rFonts w:hint="eastAsia" w:ascii="仿宋_GB2312" w:hAnsi="Times New Roman" w:eastAsia="仿宋_GB2312" w:cs="Times New Roman"/>
          <w:sz w:val="28"/>
          <w:szCs w:val="28"/>
        </w:rPr>
        <w:t>。</w:t>
      </w:r>
    </w:p>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8.</w:t>
      </w:r>
      <w:r>
        <w:rPr>
          <w:rFonts w:hint="eastAsia" w:ascii="仿宋_GB2312" w:eastAsia="仿宋_GB2312"/>
          <w:sz w:val="28"/>
          <w:szCs w:val="28"/>
        </w:rPr>
        <w:t>公共安全支出（类）司法（款）公共法律服务（项）：</w:t>
      </w:r>
      <w:r>
        <w:rPr>
          <w:rFonts w:hint="eastAsia" w:ascii="仿宋_GB2312" w:eastAsia="仿宋_GB2312"/>
          <w:color w:val="000000"/>
          <w:sz w:val="28"/>
          <w:szCs w:val="28"/>
        </w:rPr>
        <w:t>反映司法行政部门用于法律援助、司法鉴定、公证、仲裁等公共法律服务工作的相关支出</w:t>
      </w:r>
    </w:p>
    <w:p>
      <w:pPr>
        <w:ind w:firstLine="420" w:firstLineChars="15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9.教育支出（类）进修及培训（款）培训支出（项）：反映各部门安排的用于培训的支出。教育部门的师资培训，党校、行政学院等专业干部教育机构的支出，以及退役士兵、转业士官的培训支出，不在本科目反映。</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10.社会保障和就业支出（类）行政事业单位养老支出（款）事业单位离退休（项）：反映事业单位开支的离退休经费。</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11.社会保障和就业支出（类）行政事业单位养老支出（款）机关事业单位基本养老保险缴费支出（项）：反映机关事业单位实施养老保险制度由单位缴纳的基本养老保险费支出。</w:t>
      </w:r>
    </w:p>
    <w:p>
      <w:pPr>
        <w:pStyle w:val="3"/>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12.社会保障和就业支出（类）行政事业单位养老支出（款）机关事业单位职业年金缴费支出（项）:反映机关事业单位实施养老保险制度由单位实际缴纳的职业年金支出</w:t>
      </w:r>
      <w:r>
        <w:rPr>
          <w:rFonts w:hint="eastAsia" w:ascii="仿宋_GB2312" w:hAnsi="宋体" w:eastAsia="仿宋_GB2312"/>
          <w:sz w:val="28"/>
          <w:szCs w:val="28"/>
          <w:highlight w:val="none"/>
          <w:lang w:val="en" w:eastAsia="zh-CN"/>
        </w:rPr>
        <w:t>（含职业年金补记支出）。</w:t>
      </w:r>
    </w:p>
    <w:p>
      <w:pPr>
        <w:pStyle w:val="3"/>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13.卫生健康支出（类）行政事业单位医疗（款）事业单位医疗（项）：反映财政部门安排的事业单位基本医疗保险缴费经费，未参加医疗保险的事业单位的公费医疗经费，按国家规定享受离休人员待遇的医疗经费。</w:t>
      </w: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840" w:firstLineChars="3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8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F7FB272"/>
    <w:rsid w:val="214243FA"/>
    <w:rsid w:val="21AD613C"/>
    <w:rsid w:val="22467189"/>
    <w:rsid w:val="257A14F5"/>
    <w:rsid w:val="27196C26"/>
    <w:rsid w:val="294E9CA2"/>
    <w:rsid w:val="29EF086F"/>
    <w:rsid w:val="2EFFE297"/>
    <w:rsid w:val="2FFF4864"/>
    <w:rsid w:val="301437CA"/>
    <w:rsid w:val="349D1F0A"/>
    <w:rsid w:val="34DD0473"/>
    <w:rsid w:val="3C684897"/>
    <w:rsid w:val="3FFF5465"/>
    <w:rsid w:val="433E495C"/>
    <w:rsid w:val="489F2FD7"/>
    <w:rsid w:val="4AC27CB3"/>
    <w:rsid w:val="4BF72BEF"/>
    <w:rsid w:val="4FA90297"/>
    <w:rsid w:val="4FC41A43"/>
    <w:rsid w:val="4FDFEA15"/>
    <w:rsid w:val="51DB3C59"/>
    <w:rsid w:val="550C0952"/>
    <w:rsid w:val="55762E42"/>
    <w:rsid w:val="57A7B272"/>
    <w:rsid w:val="58470068"/>
    <w:rsid w:val="58747CAC"/>
    <w:rsid w:val="5A1720F9"/>
    <w:rsid w:val="5B9C37C2"/>
    <w:rsid w:val="5BA7C654"/>
    <w:rsid w:val="5FBC8484"/>
    <w:rsid w:val="60A54109"/>
    <w:rsid w:val="61D01CDF"/>
    <w:rsid w:val="63A705C1"/>
    <w:rsid w:val="64C0607C"/>
    <w:rsid w:val="65756C86"/>
    <w:rsid w:val="674D385B"/>
    <w:rsid w:val="676F09E1"/>
    <w:rsid w:val="67D5697D"/>
    <w:rsid w:val="6CE86507"/>
    <w:rsid w:val="6EDEC835"/>
    <w:rsid w:val="7357290B"/>
    <w:rsid w:val="798524E4"/>
    <w:rsid w:val="7A7F1C49"/>
    <w:rsid w:val="7B3B4888"/>
    <w:rsid w:val="7B5B7AE6"/>
    <w:rsid w:val="7B7B6628"/>
    <w:rsid w:val="7BA7071E"/>
    <w:rsid w:val="7BDF6DA8"/>
    <w:rsid w:val="7C7EDC1A"/>
    <w:rsid w:val="7CCED98D"/>
    <w:rsid w:val="7D08410F"/>
    <w:rsid w:val="7DB96DED"/>
    <w:rsid w:val="7DD3AD81"/>
    <w:rsid w:val="7E7968AF"/>
    <w:rsid w:val="7F7D5085"/>
    <w:rsid w:val="7F7FE70F"/>
    <w:rsid w:val="7FFF772F"/>
    <w:rsid w:val="95F35EF6"/>
    <w:rsid w:val="9BFFD860"/>
    <w:rsid w:val="AC5F73DE"/>
    <w:rsid w:val="B5DDD2C8"/>
    <w:rsid w:val="B9DFABD9"/>
    <w:rsid w:val="BC0D83FC"/>
    <w:rsid w:val="BDEEBEAF"/>
    <w:rsid w:val="BF3BDEFB"/>
    <w:rsid w:val="C75F6086"/>
    <w:rsid w:val="C7F7ED2D"/>
    <w:rsid w:val="CC3FF114"/>
    <w:rsid w:val="CEFF23F1"/>
    <w:rsid w:val="CFAF854E"/>
    <w:rsid w:val="D8D7928E"/>
    <w:rsid w:val="D8FE3136"/>
    <w:rsid w:val="DBD60BDA"/>
    <w:rsid w:val="DBFF7821"/>
    <w:rsid w:val="DDDE60B7"/>
    <w:rsid w:val="DE9F6A22"/>
    <w:rsid w:val="DF4FCE6A"/>
    <w:rsid w:val="DFEE0E20"/>
    <w:rsid w:val="E4FED278"/>
    <w:rsid w:val="EDAA365C"/>
    <w:rsid w:val="EDADFC12"/>
    <w:rsid w:val="EEBE030B"/>
    <w:rsid w:val="EEECE1CF"/>
    <w:rsid w:val="EFBBD2F2"/>
    <w:rsid w:val="F2FD229B"/>
    <w:rsid w:val="F76FBCEE"/>
    <w:rsid w:val="F7F709E9"/>
    <w:rsid w:val="F7FF3690"/>
    <w:rsid w:val="F9BD3900"/>
    <w:rsid w:val="FC8B9876"/>
    <w:rsid w:val="FEDFF218"/>
    <w:rsid w:val="FEDFFFFF"/>
    <w:rsid w:val="FF4F05D5"/>
    <w:rsid w:val="FFB7D0C3"/>
    <w:rsid w:val="FFEBEE70"/>
    <w:rsid w:val="FFFF0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false"/>
      <c:spPr>
        <a:noFill/>
        <a:ln>
          <a:noFill/>
        </a:ln>
        <a:effectLst/>
      </c:spPr>
    </c:title>
    <c:autoTitleDeleted val="false"/>
    <c:plotArea>
      <c:layout/>
      <c:pieChart>
        <c:varyColors val="true"/>
        <c:ser>
          <c:idx val="0"/>
          <c:order val="0"/>
          <c:tx>
            <c:strRef>
              <c:f>Sheet1!$B$1</c:f>
              <c:strCache>
                <c:ptCount val="1"/>
                <c:pt idx="0">
                  <c:v>收入</c:v>
                </c:pt>
              </c:strCache>
            </c:strRef>
          </c:tx>
          <c:spPr/>
          <c:explosion val="0"/>
          <c:dPt>
            <c:idx val="0"/>
            <c:bubble3D val="false"/>
            <c:spPr>
              <a:solidFill>
                <a:schemeClr val="accent1"/>
              </a:solidFill>
              <a:ln w="19050">
                <a:solidFill>
                  <a:schemeClr val="lt1"/>
                </a:solidFill>
              </a:ln>
              <a:effectLst/>
            </c:spPr>
          </c:dPt>
          <c:dPt>
            <c:idx val="1"/>
            <c:bubble3D val="false"/>
            <c:explosion val="1"/>
            <c:spPr>
              <a:solidFill>
                <a:schemeClr val="accent2"/>
              </a:solidFill>
              <a:ln w="19050">
                <a:solidFill>
                  <a:schemeClr val="lt1"/>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3885.64</c:v>
                </c:pt>
                <c:pt idx="1">
                  <c:v>0.32</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1247.69</c:v>
                </c:pt>
                <c:pt idx="1">
                  <c:v>2586.95</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45</TotalTime>
  <ScaleCrop>false</ScaleCrop>
  <LinksUpToDate>false</LinksUpToDate>
  <CharactersWithSpaces>5779</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2017-07-14T15:16:00Z</dcterms:created>
  <dc:creator>常程</dc:creator>
  <cp:lastModifiedBy>sfj</cp:lastModifiedBy>
  <cp:lastPrinted>2025-09-09T23:48:00Z</cp:lastPrinted>
  <dcterms:modified xsi:type="dcterms:W3CDTF">2025-09-15T10:41:11Z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