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北京市法律援助中心202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w:t>
      </w:r>
      <w:r>
        <w:rPr>
          <w:rFonts w:hint="eastAsia" w:ascii="黑体" w:hAnsi="黑体" w:eastAsia="黑体" w:cs="黑体"/>
          <w:color w:val="000000"/>
          <w:sz w:val="32"/>
          <w:szCs w:val="32"/>
          <w:lang w:val="en-US" w:eastAsia="zh-CN"/>
        </w:rPr>
        <w:t>5</w:t>
      </w:r>
      <w:r>
        <w:rPr>
          <w:rFonts w:hint="eastAsia" w:ascii="黑体" w:hAnsi="黑体" w:eastAsia="黑体" w:cs="黑体"/>
          <w:color w:val="000000"/>
          <w:sz w:val="32"/>
          <w:szCs w:val="32"/>
        </w:rPr>
        <w:t>年度单位预算报表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一、收支总表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二、收入总表 </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四、项目支出表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五、政府采购预算明细表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六、财政拨款收支总表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七、一般公共预算财政拨款支出表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八、一般公共预算财政拨款基本支出表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九、政府性基金预算财政拨款支出表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十、国有资本经营预算财政拨款支出表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十一、财政拨款“三公”经费支出表</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十二、政府购买服务预算财政拨款明细表</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十三、项目支出绩效目标表</w:t>
      </w:r>
    </w:p>
    <w:p>
      <w:pPr>
        <w:spacing w:line="560" w:lineRule="exact"/>
        <w:ind w:firstLine="640" w:firstLineChars="200"/>
      </w:pPr>
      <w:r>
        <w:rPr>
          <w:rFonts w:hint="eastAsia" w:ascii="仿宋_GB2312" w:hAnsi="仿宋_GB2312" w:eastAsia="仿宋_GB2312" w:cs="仿宋_GB2312"/>
          <w:color w:val="000000"/>
          <w:sz w:val="32"/>
          <w:szCs w:val="32"/>
          <w:lang w:val="zh-CN" w:eastAsia="zh-CN"/>
        </w:rPr>
        <w:t>十四、单位整体绩效目标表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年度单位预算情况说明</w:t>
      </w:r>
    </w:p>
    <w:p>
      <w:pPr>
        <w:spacing w:line="360" w:lineRule="auto"/>
        <w:rPr>
          <w:rFonts w:ascii="仿宋_GB2312" w:eastAsia="仿宋_GB2312"/>
          <w:color w:val="000000"/>
          <w:sz w:val="32"/>
          <w:szCs w:val="32"/>
        </w:rPr>
      </w:pP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北京市法律援助中心是1996年11月8日经市编办批准成立的全额拨款的事业单位，是北京市司法局直属单位，2005年5月批准依照公务员管理，2018年4月加挂北京市公共法律服务中心牌子。依据《中共北京市委机构编制委员会关于市司法局所属事业单位改革有关事项的批复》（京编委〔2021〕119号）主要职责为：依法向符合规定的公民提供法律援助，承担公共法律服务平台运行管理工作，提供司法行政相关法律服务。</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北京市法律援助中心内设5个科室，分别为：办公室、法律援助工作科、12348热线平台管理科、实体平台管理科、网络平台及数据管理科。</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北京市法律援助中心单位行政编制0人，实际0人；事业编制2</w:t>
      </w:r>
      <w:r>
        <w:rPr>
          <w:rFonts w:hint="eastAsia" w:ascii="仿宋_GB2312" w:eastAsia="仿宋_GB2312"/>
          <w:sz w:val="32"/>
          <w:szCs w:val="32"/>
          <w:lang w:val="en-US" w:eastAsia="zh-CN"/>
        </w:rPr>
        <w:t>7</w:t>
      </w:r>
      <w:r>
        <w:rPr>
          <w:rFonts w:hint="eastAsia" w:ascii="仿宋_GB2312" w:eastAsia="仿宋_GB2312"/>
          <w:sz w:val="32"/>
          <w:szCs w:val="32"/>
          <w:lang w:eastAsia="zh-CN"/>
        </w:rPr>
        <w:t>名</w:t>
      </w:r>
      <w:r>
        <w:rPr>
          <w:rFonts w:hint="eastAsia" w:ascii="仿宋_GB2312" w:eastAsia="仿宋_GB2312"/>
          <w:sz w:val="32"/>
          <w:szCs w:val="32"/>
        </w:rPr>
        <w:t>，实际2</w:t>
      </w:r>
      <w:r>
        <w:rPr>
          <w:rFonts w:hint="eastAsia" w:ascii="仿宋_GB2312" w:eastAsia="仿宋_GB2312"/>
          <w:sz w:val="32"/>
          <w:szCs w:val="32"/>
          <w:lang w:val="en-US" w:eastAsia="zh-CN"/>
        </w:rPr>
        <w:t>7</w:t>
      </w:r>
      <w:r>
        <w:rPr>
          <w:rFonts w:hint="eastAsia" w:ascii="仿宋_GB2312" w:eastAsia="仿宋_GB2312"/>
          <w:sz w:val="32"/>
          <w:szCs w:val="32"/>
        </w:rPr>
        <w:t>人；聘用人员</w:t>
      </w:r>
      <w:r>
        <w:rPr>
          <w:rFonts w:hint="eastAsia" w:ascii="仿宋_GB2312" w:eastAsia="仿宋_GB2312"/>
          <w:sz w:val="32"/>
          <w:szCs w:val="32"/>
          <w:lang w:val="en-US" w:eastAsia="zh-CN"/>
        </w:rPr>
        <w:t>1</w:t>
      </w:r>
      <w:r>
        <w:rPr>
          <w:rFonts w:hint="eastAsia" w:ascii="仿宋_GB2312" w:eastAsia="仿宋_GB2312"/>
          <w:sz w:val="32"/>
          <w:szCs w:val="32"/>
        </w:rPr>
        <w:t>人。</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离退休人员1</w:t>
      </w:r>
      <w:r>
        <w:rPr>
          <w:rFonts w:hint="eastAsia" w:ascii="仿宋_GB2312" w:eastAsia="仿宋_GB2312"/>
          <w:sz w:val="32"/>
          <w:szCs w:val="32"/>
          <w:lang w:val="en-US" w:eastAsia="zh-CN"/>
        </w:rPr>
        <w:t>2</w:t>
      </w:r>
      <w:r>
        <w:rPr>
          <w:rFonts w:hint="eastAsia" w:ascii="仿宋_GB2312" w:eastAsia="仿宋_GB2312"/>
          <w:sz w:val="32"/>
          <w:szCs w:val="32"/>
        </w:rPr>
        <w:t>人，其中：离休0人，退休1</w:t>
      </w:r>
      <w:r>
        <w:rPr>
          <w:rFonts w:hint="eastAsia" w:ascii="仿宋_GB2312" w:eastAsia="仿宋_GB2312"/>
          <w:sz w:val="32"/>
          <w:szCs w:val="32"/>
          <w:lang w:val="en-US" w:eastAsia="zh-CN"/>
        </w:rPr>
        <w:t>2</w:t>
      </w:r>
      <w:r>
        <w:rPr>
          <w:rFonts w:hint="eastAsia" w:ascii="仿宋_GB2312" w:eastAsia="仿宋_GB2312"/>
          <w:sz w:val="32"/>
          <w:szCs w:val="32"/>
        </w:rPr>
        <w:t>人。</w:t>
      </w:r>
    </w:p>
    <w:p>
      <w:pPr>
        <w:numPr>
          <w:ilvl w:val="0"/>
          <w:numId w:val="1"/>
        </w:numPr>
        <w:spacing w:line="600" w:lineRule="exact"/>
        <w:ind w:firstLine="640" w:firstLineChars="200"/>
        <w:rPr>
          <w:rFonts w:ascii="黑体" w:eastAsia="黑体"/>
          <w:color w:val="000000"/>
          <w:sz w:val="32"/>
          <w:szCs w:val="32"/>
        </w:rPr>
      </w:pPr>
      <w:r>
        <w:rPr>
          <w:rFonts w:hint="eastAsia" w:ascii="黑体" w:eastAsia="黑体"/>
          <w:color w:val="000000"/>
          <w:sz w:val="32"/>
          <w:szCs w:val="32"/>
        </w:rPr>
        <w:t>收入预算情况说明</w:t>
      </w:r>
    </w:p>
    <w:p>
      <w:pPr>
        <w:ind w:firstLine="640" w:firstLineChars="200"/>
        <w:rPr>
          <w:rFonts w:hint="default" w:ascii="仿宋_GB2312" w:eastAsia="仿宋_GB2312" w:cs="Droid Sans"/>
          <w:sz w:val="32"/>
          <w:szCs w:val="32"/>
          <w:lang w:val="en-US"/>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年收入预算</w:t>
      </w:r>
      <w:r>
        <w:rPr>
          <w:rFonts w:hint="eastAsia" w:ascii="仿宋_GB2312" w:eastAsia="仿宋_GB2312"/>
          <w:sz w:val="32"/>
          <w:szCs w:val="32"/>
          <w:lang w:val="en-US" w:eastAsia="zh-CN"/>
        </w:rPr>
        <w:t>391</w:t>
      </w:r>
      <w:r>
        <w:rPr>
          <w:rFonts w:hint="default" w:ascii="仿宋_GB2312" w:eastAsia="仿宋_GB2312"/>
          <w:sz w:val="32"/>
          <w:szCs w:val="32"/>
          <w:lang w:val="en" w:eastAsia="zh-CN"/>
        </w:rPr>
        <w:t>7.15</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3942.05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2</w:t>
      </w:r>
      <w:r>
        <w:rPr>
          <w:rFonts w:hint="default" w:ascii="仿宋_GB2312" w:eastAsia="仿宋_GB2312"/>
          <w:sz w:val="32"/>
          <w:szCs w:val="32"/>
          <w:lang w:val="en" w:eastAsia="zh-CN"/>
        </w:rPr>
        <w:t>4.90</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0.6</w:t>
      </w:r>
      <w:r>
        <w:rPr>
          <w:rFonts w:hint="default" w:ascii="仿宋_GB2312" w:eastAsia="仿宋_GB2312"/>
          <w:sz w:val="32"/>
          <w:szCs w:val="32"/>
          <w:lang w:val="en" w:eastAsia="zh-CN"/>
        </w:rPr>
        <w:t>3</w:t>
      </w:r>
      <w:r>
        <w:rPr>
          <w:rFonts w:hint="eastAsia" w:ascii="仿宋_GB2312" w:eastAsia="仿宋_GB2312"/>
          <w:sz w:val="32"/>
          <w:szCs w:val="32"/>
        </w:rPr>
        <w:t>%。主要原因</w:t>
      </w:r>
      <w:r>
        <w:rPr>
          <w:rFonts w:hint="eastAsia" w:ascii="仿宋_GB2312" w:eastAsia="仿宋_GB2312"/>
          <w:sz w:val="32"/>
          <w:szCs w:val="32"/>
          <w:highlight w:val="none"/>
        </w:rPr>
        <w:t>是</w:t>
      </w:r>
      <w:r>
        <w:rPr>
          <w:rFonts w:hint="eastAsia" w:ascii="仿宋_GB2312" w:eastAsia="仿宋_GB2312"/>
          <w:sz w:val="32"/>
          <w:szCs w:val="32"/>
          <w:highlight w:val="none"/>
          <w:lang w:val="en-US" w:eastAsia="zh-CN"/>
        </w:rPr>
        <w:t>人员减少造成</w:t>
      </w:r>
      <w:r>
        <w:rPr>
          <w:rFonts w:hint="eastAsia" w:ascii="仿宋_GB2312" w:eastAsia="仿宋_GB2312"/>
          <w:sz w:val="32"/>
          <w:szCs w:val="32"/>
          <w:highlight w:val="none"/>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hint="eastAsia" w:ascii="楷体_GB2312" w:eastAsia="楷体_GB2312"/>
          <w:sz w:val="32"/>
          <w:szCs w:val="32"/>
          <w:lang w:val="en-US" w:eastAsia="zh-CN"/>
        </w:rPr>
        <w:t>3915.92</w:t>
      </w:r>
      <w:r>
        <w:rPr>
          <w:rFonts w:hint="eastAsia" w:ascii="楷体_GB2312" w:eastAsia="楷体_GB2312"/>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1.一般公共预算拨款收入</w:t>
      </w:r>
      <w:r>
        <w:rPr>
          <w:rFonts w:hint="eastAsia" w:ascii="仿宋_GB2312" w:eastAsia="仿宋_GB2312" w:cs="Droid Sans"/>
          <w:sz w:val="32"/>
          <w:szCs w:val="32"/>
          <w:lang w:val="en-US" w:eastAsia="zh-CN"/>
        </w:rPr>
        <w:t>3915.92</w:t>
      </w:r>
      <w:r>
        <w:rPr>
          <w:rFonts w:hint="eastAsia" w:ascii="仿宋_GB2312" w:eastAsia="仿宋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2.政府性基金预算拨款收入0万元。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3.国有资本经营预算拨款收入0万元。</w:t>
      </w:r>
    </w:p>
    <w:p>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（二）本年其他资金</w:t>
      </w:r>
      <w:r>
        <w:rPr>
          <w:rFonts w:hint="eastAsia" w:ascii="楷体_GB2312" w:eastAsia="楷体_GB2312" w:cs="Droid Sans"/>
          <w:sz w:val="32"/>
          <w:szCs w:val="32"/>
        </w:rPr>
        <w:t>收入0.</w:t>
      </w:r>
      <w:r>
        <w:rPr>
          <w:rFonts w:hint="eastAsia" w:ascii="楷体_GB2312" w:eastAsia="楷体_GB2312" w:cs="Droid Sans"/>
          <w:sz w:val="32"/>
          <w:szCs w:val="32"/>
          <w:lang w:val="en-US" w:eastAsia="zh-CN"/>
        </w:rPr>
        <w:t>2</w:t>
      </w:r>
      <w:r>
        <w:rPr>
          <w:rFonts w:hint="eastAsia" w:ascii="楷体_GB2312" w:eastAsia="楷体_GB2312" w:cs="Droid Sans"/>
          <w:sz w:val="32"/>
          <w:szCs w:val="32"/>
        </w:rPr>
        <w:t>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4.财政专户管理资金收入0万元。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5.事业收入0万元。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6.上级补助收入0万元。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7.附属单位上缴收入0万元。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8.事业单位经营收入0万元。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9.其他收入0.</w:t>
      </w:r>
      <w:r>
        <w:rPr>
          <w:rFonts w:hint="eastAsia" w:ascii="仿宋_GB2312" w:eastAsia="仿宋_GB2312" w:cs="Droid Sans"/>
          <w:sz w:val="32"/>
          <w:szCs w:val="32"/>
          <w:lang w:val="en-US" w:eastAsia="zh-CN"/>
        </w:rPr>
        <w:t>2</w:t>
      </w:r>
      <w:r>
        <w:rPr>
          <w:rFonts w:hint="eastAsia" w:ascii="仿宋_GB2312" w:eastAsia="仿宋_GB2312" w:cs="Droid Sans"/>
          <w:sz w:val="32"/>
          <w:szCs w:val="32"/>
        </w:rPr>
        <w:t>0万元。</w:t>
      </w:r>
    </w:p>
    <w:p>
      <w:pPr>
        <w:spacing w:line="560" w:lineRule="exact"/>
        <w:ind w:firstLine="640" w:firstLineChars="200"/>
        <w:rPr>
          <w:rFonts w:ascii="楷体_GB2312" w:eastAsia="楷体_GB2312" w:cs="Droid Sans"/>
          <w:sz w:val="32"/>
          <w:szCs w:val="32"/>
        </w:rPr>
      </w:pPr>
      <w:r>
        <w:rPr>
          <w:rFonts w:hint="eastAsia" w:ascii="楷体_GB2312" w:eastAsia="楷体_GB2312"/>
          <w:sz w:val="32"/>
          <w:szCs w:val="32"/>
        </w:rPr>
        <w:t>（三）上年结转结余</w:t>
      </w:r>
      <w:r>
        <w:rPr>
          <w:rFonts w:hint="eastAsia" w:ascii="楷体_GB2312" w:eastAsia="楷体_GB2312" w:cs="Droid Sans"/>
          <w:sz w:val="32"/>
          <w:szCs w:val="32"/>
          <w:lang w:val="en-US" w:eastAsia="zh-CN"/>
        </w:rPr>
        <w:t>1.03</w:t>
      </w:r>
      <w:r>
        <w:rPr>
          <w:rFonts w:hint="eastAsia" w:ascii="楷体_GB2312" w:eastAsia="楷体_GB2312" w:cs="Droid Sans"/>
          <w:sz w:val="32"/>
          <w:szCs w:val="32"/>
        </w:rPr>
        <w:t>万元</w:t>
      </w:r>
    </w:p>
    <w:p>
      <w:pPr>
        <w:spacing w:line="560" w:lineRule="exact"/>
        <w:ind w:firstLine="640" w:firstLineChars="200"/>
        <w:rPr>
          <w:rFonts w:ascii="仿宋_GB2312" w:eastAsia="仿宋_GB2312" w:cs="Droid Sans"/>
          <w:sz w:val="32"/>
          <w:szCs w:val="32"/>
        </w:rPr>
      </w:pPr>
      <w:r>
        <w:rPr>
          <w:rFonts w:hint="eastAsia" w:ascii="仿宋_GB2312" w:eastAsia="仿宋_GB2312" w:cs="Droid Sans"/>
          <w:sz w:val="32"/>
          <w:szCs w:val="32"/>
        </w:rPr>
        <w:t>10.上年结转结余</w:t>
      </w:r>
      <w:r>
        <w:rPr>
          <w:rFonts w:hint="eastAsia" w:ascii="仿宋_GB2312" w:eastAsia="仿宋_GB2312" w:cs="Droid Sans"/>
          <w:sz w:val="32"/>
          <w:szCs w:val="32"/>
          <w:lang w:val="en-US" w:eastAsia="zh-CN"/>
        </w:rPr>
        <w:t>1.03</w:t>
      </w:r>
      <w:r>
        <w:rPr>
          <w:rFonts w:hint="eastAsia" w:ascii="仿宋_GB2312" w:eastAsia="仿宋_GB2312" w:cs="Droid Sans"/>
          <w:sz w:val="32"/>
          <w:szCs w:val="32"/>
        </w:rPr>
        <w:t>万元。</w:t>
      </w:r>
    </w:p>
    <w:p>
      <w:pPr>
        <w:pStyle w:val="3"/>
        <w:jc w:val="center"/>
        <w:rPr>
          <w:rFonts w:ascii="仿宋_GB2312" w:eastAsia="仿宋_GB2312"/>
          <w:b w:val="0"/>
          <w:bCs w:val="0"/>
          <w:sz w:val="32"/>
        </w:rPr>
      </w:pPr>
      <w:r>
        <w:rPr>
          <w:rFonts w:hint="eastAsia" w:ascii="仿宋_GB2312" w:eastAsia="仿宋_GB2312"/>
          <w:sz w:val="32"/>
        </w:rPr>
        <w:t>图1：收入预算</w:t>
      </w:r>
    </w:p>
    <w:p>
      <w:pPr>
        <w:ind w:firstLine="420" w:firstLineChars="200"/>
        <w:rPr>
          <w:rFonts w:ascii="仿宋_GB2312" w:eastAsia="仿宋_GB2312"/>
          <w:sz w:val="32"/>
          <w:szCs w:val="32"/>
        </w:rPr>
      </w:pPr>
      <w:r>
        <w:drawing>
          <wp:inline distT="0" distB="0" distL="114300" distR="114300">
            <wp:extent cx="4572000" cy="2743200"/>
            <wp:effectExtent l="4445" t="4445" r="14605" b="14605"/>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bookmarkStart w:id="0" w:name="_GoBack"/>
      <w:bookmarkEnd w:id="0"/>
    </w:p>
    <w:p>
      <w:pPr>
        <w:numPr>
          <w:ilvl w:val="0"/>
          <w:numId w:val="1"/>
        </w:numPr>
        <w:spacing w:line="560" w:lineRule="exact"/>
        <w:ind w:firstLine="640" w:firstLineChars="200"/>
        <w:rPr>
          <w:rFonts w:ascii="黑体" w:eastAsia="黑体" w:cs="Droid Sans"/>
          <w:sz w:val="32"/>
          <w:szCs w:val="32"/>
        </w:rPr>
      </w:pPr>
      <w:r>
        <w:rPr>
          <w:rFonts w:hint="eastAsia" w:ascii="黑体" w:eastAsia="黑体" w:cs="Droid Sans"/>
          <w:sz w:val="32"/>
          <w:szCs w:val="32"/>
        </w:rPr>
        <w:t>支出预算情况说明</w:t>
      </w:r>
    </w:p>
    <w:p>
      <w:pPr>
        <w:ind w:firstLine="640" w:firstLineChars="200"/>
        <w:rPr>
          <w:rFonts w:hint="eastAsia" w:ascii="仿宋_GB2312" w:eastAsia="仿宋_GB2312"/>
          <w:sz w:val="32"/>
          <w:szCs w:val="32"/>
          <w:highlight w:val="none"/>
        </w:rPr>
      </w:pPr>
      <w:r>
        <w:rPr>
          <w:rFonts w:hint="eastAsia" w:ascii="仿宋_GB2312" w:eastAsia="仿宋_GB2312" w:cs="Droid Sans"/>
          <w:sz w:val="32"/>
          <w:szCs w:val="32"/>
        </w:rPr>
        <w:t>202</w:t>
      </w:r>
      <w:r>
        <w:rPr>
          <w:rFonts w:hint="eastAsia" w:ascii="仿宋_GB2312" w:eastAsia="仿宋_GB2312" w:cs="Droid Sans"/>
          <w:sz w:val="32"/>
          <w:szCs w:val="32"/>
          <w:lang w:val="en-US" w:eastAsia="zh-CN"/>
        </w:rPr>
        <w:t>5</w:t>
      </w:r>
      <w:r>
        <w:rPr>
          <w:rFonts w:hint="eastAsia" w:ascii="仿宋_GB2312" w:eastAsia="仿宋_GB2312" w:cs="Droid Sans"/>
          <w:sz w:val="32"/>
          <w:szCs w:val="32"/>
        </w:rPr>
        <w:t>年支出预算</w:t>
      </w:r>
      <w:r>
        <w:rPr>
          <w:rFonts w:hint="eastAsia" w:ascii="仿宋_GB2312" w:eastAsia="仿宋_GB2312" w:cs="Droid Sans"/>
          <w:sz w:val="32"/>
          <w:szCs w:val="32"/>
          <w:lang w:val="en-US" w:eastAsia="zh-CN"/>
        </w:rPr>
        <w:t>3917.15</w:t>
      </w:r>
      <w:r>
        <w:rPr>
          <w:rFonts w:hint="eastAsia" w:ascii="仿宋_GB2312" w:eastAsia="仿宋_GB2312" w:cs="Droid Sans"/>
          <w:sz w:val="32"/>
          <w:szCs w:val="32"/>
        </w:rPr>
        <w:t>万元，比202</w:t>
      </w:r>
      <w:r>
        <w:rPr>
          <w:rFonts w:hint="eastAsia" w:ascii="仿宋_GB2312" w:eastAsia="仿宋_GB2312" w:cs="Droid Sans"/>
          <w:sz w:val="32"/>
          <w:szCs w:val="32"/>
          <w:lang w:val="en-US" w:eastAsia="zh-CN"/>
        </w:rPr>
        <w:t>4</w:t>
      </w:r>
      <w:r>
        <w:rPr>
          <w:rFonts w:hint="eastAsia" w:ascii="仿宋_GB2312" w:eastAsia="仿宋_GB2312" w:cs="Droid Sans"/>
          <w:sz w:val="32"/>
          <w:szCs w:val="32"/>
        </w:rPr>
        <w:t>年年初预算数</w:t>
      </w:r>
      <w:r>
        <w:rPr>
          <w:rFonts w:hint="eastAsia" w:ascii="仿宋_GB2312" w:eastAsia="仿宋_GB2312" w:cs="Droid Sans"/>
          <w:sz w:val="32"/>
          <w:szCs w:val="32"/>
          <w:lang w:val="en-US" w:eastAsia="zh-CN"/>
        </w:rPr>
        <w:t>3942.05</w:t>
      </w:r>
      <w:r>
        <w:rPr>
          <w:rFonts w:hint="eastAsia" w:ascii="仿宋_GB2312" w:eastAsia="仿宋_GB2312" w:cs="Droid Sans"/>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2</w:t>
      </w:r>
      <w:r>
        <w:rPr>
          <w:rFonts w:hint="default" w:ascii="仿宋_GB2312" w:eastAsia="仿宋_GB2312"/>
          <w:sz w:val="32"/>
          <w:szCs w:val="32"/>
          <w:lang w:val="en" w:eastAsia="zh-CN"/>
        </w:rPr>
        <w:t>4.90</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0.6</w:t>
      </w:r>
      <w:r>
        <w:rPr>
          <w:rFonts w:hint="default" w:ascii="仿宋_GB2312" w:eastAsia="仿宋_GB2312"/>
          <w:sz w:val="32"/>
          <w:szCs w:val="32"/>
          <w:lang w:val="en" w:eastAsia="zh-CN"/>
        </w:rPr>
        <w:t>3</w:t>
      </w:r>
      <w:r>
        <w:rPr>
          <w:rFonts w:hint="eastAsia" w:ascii="仿宋_GB2312" w:eastAsia="仿宋_GB2312"/>
          <w:sz w:val="32"/>
          <w:szCs w:val="32"/>
        </w:rPr>
        <w:t>%。主要原因是</w:t>
      </w:r>
      <w:r>
        <w:rPr>
          <w:rFonts w:hint="eastAsia" w:ascii="仿宋_GB2312" w:eastAsia="仿宋_GB2312"/>
          <w:sz w:val="32"/>
          <w:szCs w:val="32"/>
          <w:highlight w:val="none"/>
          <w:lang w:val="en-US" w:eastAsia="zh-CN"/>
        </w:rPr>
        <w:t>人员减少造成</w:t>
      </w:r>
      <w:r>
        <w:rPr>
          <w:rFonts w:hint="eastAsia" w:ascii="仿宋_GB2312" w:eastAsia="仿宋_GB2312"/>
          <w:sz w:val="32"/>
          <w:szCs w:val="32"/>
          <w:highlight w:val="none"/>
        </w:rPr>
        <w:t>。</w:t>
      </w:r>
    </w:p>
    <w:p>
      <w:pPr>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hint="eastAsia" w:ascii="仿宋_GB2312" w:eastAsia="仿宋_GB2312"/>
          <w:sz w:val="32"/>
          <w:szCs w:val="32"/>
          <w:lang w:val="en-US" w:eastAsia="zh-CN"/>
        </w:rPr>
        <w:t>127</w:t>
      </w:r>
      <w:r>
        <w:rPr>
          <w:rFonts w:hint="default" w:ascii="仿宋_GB2312" w:eastAsia="仿宋_GB2312"/>
          <w:sz w:val="32"/>
          <w:szCs w:val="32"/>
          <w:lang w:val="en" w:eastAsia="zh-CN"/>
        </w:rPr>
        <w:t>5.54</w:t>
      </w:r>
      <w:r>
        <w:rPr>
          <w:rFonts w:hint="eastAsia" w:ascii="仿宋_GB2312" w:eastAsia="仿宋_GB2312"/>
          <w:sz w:val="32"/>
          <w:szCs w:val="32"/>
        </w:rPr>
        <w:t>万元，占总支出预算</w:t>
      </w:r>
      <w:r>
        <w:rPr>
          <w:rFonts w:hint="eastAsia" w:ascii="仿宋_GB2312" w:eastAsia="仿宋_GB2312"/>
          <w:sz w:val="32"/>
          <w:szCs w:val="32"/>
          <w:lang w:val="en-US" w:eastAsia="zh-CN"/>
        </w:rPr>
        <w:t>32.5</w:t>
      </w:r>
      <w:r>
        <w:rPr>
          <w:rFonts w:hint="default" w:ascii="仿宋_GB2312" w:eastAsia="仿宋_GB2312"/>
          <w:sz w:val="32"/>
          <w:szCs w:val="32"/>
          <w:lang w:val="en" w:eastAsia="zh-CN"/>
        </w:rPr>
        <w:t>6</w:t>
      </w:r>
      <w:r>
        <w:rPr>
          <w:rFonts w:hint="eastAsia" w:ascii="仿宋_GB2312" w:eastAsia="仿宋_GB2312"/>
          <w:sz w:val="32"/>
          <w:szCs w:val="32"/>
        </w:rPr>
        <w:t>%，比202</w:t>
      </w:r>
      <w:r>
        <w:rPr>
          <w:rFonts w:hint="eastAsia" w:ascii="仿宋_GB2312" w:eastAsia="仿宋_GB2312"/>
          <w:sz w:val="32"/>
          <w:szCs w:val="32"/>
          <w:lang w:val="en-US" w:eastAsia="zh-CN"/>
        </w:rPr>
        <w:t>4年的1344.52</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6</w:t>
      </w:r>
      <w:r>
        <w:rPr>
          <w:rFonts w:hint="default" w:ascii="仿宋_GB2312" w:eastAsia="仿宋_GB2312"/>
          <w:sz w:val="32"/>
          <w:szCs w:val="32"/>
          <w:lang w:val="en" w:eastAsia="zh-CN"/>
        </w:rPr>
        <w:t>8</w:t>
      </w:r>
      <w:r>
        <w:rPr>
          <w:rFonts w:hint="eastAsia" w:ascii="仿宋_GB2312" w:eastAsia="仿宋_GB2312"/>
          <w:sz w:val="32"/>
          <w:szCs w:val="32"/>
          <w:lang w:val="en-US" w:eastAsia="zh-CN"/>
        </w:rPr>
        <w:t>.</w:t>
      </w:r>
      <w:r>
        <w:rPr>
          <w:rFonts w:hint="default" w:ascii="仿宋_GB2312" w:eastAsia="仿宋_GB2312"/>
          <w:sz w:val="32"/>
          <w:szCs w:val="32"/>
          <w:lang w:val="en" w:eastAsia="zh-CN"/>
        </w:rPr>
        <w:t>98</w:t>
      </w:r>
      <w:r>
        <w:rPr>
          <w:rFonts w:hint="eastAsia" w:ascii="仿宋_GB2312" w:eastAsia="仿宋_GB2312"/>
          <w:sz w:val="32"/>
          <w:szCs w:val="32"/>
        </w:rPr>
        <w:t>万元，</w:t>
      </w:r>
      <w:r>
        <w:rPr>
          <w:rFonts w:hint="eastAsia" w:ascii="仿宋_GB2312" w:eastAsia="仿宋_GB2312"/>
          <w:sz w:val="32"/>
          <w:szCs w:val="32"/>
          <w:lang w:eastAsia="zh-CN"/>
        </w:rPr>
        <w:t>下降</w:t>
      </w:r>
      <w:r>
        <w:rPr>
          <w:rFonts w:hint="eastAsia" w:ascii="仿宋_GB2312" w:eastAsia="仿宋_GB2312"/>
          <w:sz w:val="32"/>
          <w:szCs w:val="32"/>
          <w:lang w:val="en-US" w:eastAsia="zh-CN"/>
        </w:rPr>
        <w:t>5.</w:t>
      </w:r>
      <w:r>
        <w:rPr>
          <w:rFonts w:hint="default" w:ascii="仿宋_GB2312" w:eastAsia="仿宋_GB2312"/>
          <w:sz w:val="32"/>
          <w:szCs w:val="32"/>
          <w:lang w:val="en" w:eastAsia="zh-CN"/>
        </w:rPr>
        <w:t>13</w:t>
      </w:r>
      <w:r>
        <w:rPr>
          <w:rFonts w:hint="eastAsia" w:ascii="仿宋_GB2312" w:eastAsia="仿宋_GB2312"/>
          <w:sz w:val="32"/>
          <w:szCs w:val="32"/>
        </w:rPr>
        <w:t>%。</w:t>
      </w:r>
    </w:p>
    <w:p>
      <w:pPr>
        <w:spacing w:line="560" w:lineRule="exact"/>
        <w:ind w:firstLine="640"/>
        <w:rPr>
          <w:rFonts w:hint="eastAsia"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hint="eastAsia" w:ascii="仿宋_GB2312" w:eastAsia="仿宋_GB2312"/>
          <w:sz w:val="32"/>
          <w:szCs w:val="32"/>
          <w:lang w:val="en-US" w:eastAsia="zh-CN"/>
        </w:rPr>
        <w:t>2641.61</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2597.53</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44.08</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1.70</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仿宋_GB2312" w:eastAsia="仿宋_GB2312"/>
          <w:sz w:val="32"/>
          <w:szCs w:val="32"/>
        </w:rPr>
        <w:t>其中：</w:t>
      </w:r>
    </w:p>
    <w:p>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1.事业单位经营支出0万元。</w:t>
      </w:r>
    </w:p>
    <w:p>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2.上缴上级支出0万元。</w:t>
      </w:r>
    </w:p>
    <w:p>
      <w:pPr>
        <w:spacing w:line="560" w:lineRule="exact"/>
        <w:ind w:firstLine="640"/>
        <w:rPr>
          <w:rFonts w:ascii="仿宋_GB2312" w:eastAsia="仿宋_GB2312" w:cs="Droid Sans"/>
          <w:sz w:val="32"/>
          <w:szCs w:val="32"/>
        </w:rPr>
      </w:pPr>
      <w:r>
        <w:rPr>
          <w:rFonts w:hint="eastAsia" w:ascii="仿宋_GB2312" w:eastAsia="仿宋_GB2312" w:cs="Droid Sans"/>
          <w:sz w:val="32"/>
          <w:szCs w:val="32"/>
        </w:rPr>
        <w:t>3.对附属单位补助支出0万元。</w:t>
      </w:r>
    </w:p>
    <w:p>
      <w:pPr>
        <w:pStyle w:val="3"/>
        <w:ind w:firstLine="642"/>
        <w:jc w:val="center"/>
        <w:rPr>
          <w:rFonts w:ascii="仿宋_GB2312" w:eastAsia="仿宋_GB2312"/>
          <w:sz w:val="32"/>
        </w:rPr>
      </w:pPr>
      <w:r>
        <w:rPr>
          <w:rFonts w:hint="eastAsia" w:ascii="仿宋_GB2312" w:eastAsia="仿宋_GB2312"/>
          <w:sz w:val="32"/>
        </w:rPr>
        <w:t>图2：基本支出和项目支出情况</w:t>
      </w:r>
    </w:p>
    <w:p>
      <w:pPr>
        <w:ind w:firstLine="420" w:firstLineChars="200"/>
        <w:rPr>
          <w:rFonts w:ascii="仿宋_GB2312" w:eastAsia="仿宋_GB2312"/>
          <w:sz w:val="32"/>
          <w:szCs w:val="32"/>
        </w:rPr>
      </w:pPr>
      <w:r>
        <w:drawing>
          <wp:inline distT="0" distB="0" distL="114300" distR="114300">
            <wp:extent cx="4572000" cy="2990215"/>
            <wp:effectExtent l="4445" t="4445" r="14605" b="15240"/>
            <wp:docPr id="1032"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2"/>
        </w:numPr>
        <w:spacing w:line="560" w:lineRule="exact"/>
        <w:ind w:left="-220" w:firstLine="640" w:firstLineChars="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hint="eastAsia" w:ascii="仿宋_GB2312" w:eastAsia="仿宋_GB2312" w:cstheme="minorBidi"/>
          <w:color w:val="000000"/>
          <w:sz w:val="32"/>
          <w:szCs w:val="32"/>
        </w:rPr>
      </w:pPr>
      <w:r>
        <w:rPr>
          <w:rFonts w:hint="eastAsia" w:ascii="仿宋_GB2312" w:eastAsia="仿宋_GB2312" w:cstheme="minorBidi"/>
          <w:color w:val="000000"/>
          <w:sz w:val="32"/>
          <w:szCs w:val="32"/>
        </w:rPr>
        <w:t>本单位202</w:t>
      </w:r>
      <w:r>
        <w:rPr>
          <w:rFonts w:hint="eastAsia" w:ascii="仿宋_GB2312" w:eastAsia="仿宋_GB2312" w:cstheme="minorBidi"/>
          <w:color w:val="000000"/>
          <w:sz w:val="32"/>
          <w:szCs w:val="32"/>
          <w:lang w:val="en-US" w:eastAsia="zh-CN"/>
        </w:rPr>
        <w:t>5</w:t>
      </w:r>
      <w:r>
        <w:rPr>
          <w:rFonts w:hint="eastAsia" w:ascii="仿宋_GB2312" w:eastAsia="仿宋_GB2312" w:cstheme="minorBidi"/>
          <w:color w:val="000000"/>
          <w:sz w:val="32"/>
          <w:szCs w:val="32"/>
        </w:rPr>
        <w:t>年无财政拨款安排的“三公”经费预算。</w:t>
      </w:r>
    </w:p>
    <w:p>
      <w:pPr>
        <w:spacing w:line="60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年北京市法律援助中心政府采购预算总额</w:t>
      </w:r>
      <w:r>
        <w:rPr>
          <w:rFonts w:hint="eastAsia" w:ascii="仿宋_GB2312" w:eastAsia="仿宋_GB2312"/>
          <w:sz w:val="32"/>
          <w:szCs w:val="32"/>
          <w:lang w:val="en-US" w:eastAsia="zh-CN"/>
        </w:rPr>
        <w:t>2449.70</w:t>
      </w:r>
      <w:r>
        <w:rPr>
          <w:rFonts w:hint="eastAsia" w:ascii="仿宋_GB2312" w:eastAsia="仿宋_GB2312"/>
          <w:sz w:val="32"/>
          <w:szCs w:val="32"/>
        </w:rPr>
        <w:t>万元。</w:t>
      </w:r>
      <w:r>
        <w:rPr>
          <w:rFonts w:hint="eastAsia" w:ascii="仿宋_GB2312" w:eastAsia="仿宋_GB2312"/>
          <w:color w:val="000000"/>
          <w:sz w:val="32"/>
          <w:szCs w:val="32"/>
        </w:rPr>
        <w:t>其中：政府采购货物预算</w:t>
      </w:r>
      <w:r>
        <w:rPr>
          <w:rFonts w:hint="eastAsia" w:ascii="仿宋_GB2312" w:eastAsia="仿宋_GB2312"/>
          <w:color w:val="000000"/>
          <w:sz w:val="32"/>
          <w:szCs w:val="32"/>
          <w:lang w:val="en-US" w:eastAsia="zh-CN"/>
        </w:rPr>
        <w:t>1.50</w:t>
      </w:r>
      <w:r>
        <w:rPr>
          <w:rFonts w:hint="eastAsia" w:ascii="仿宋_GB2312" w:eastAsia="仿宋_GB2312"/>
          <w:color w:val="000000"/>
          <w:sz w:val="32"/>
          <w:szCs w:val="32"/>
        </w:rPr>
        <w:t>万元，</w:t>
      </w:r>
      <w:r>
        <w:rPr>
          <w:rFonts w:hint="eastAsia" w:ascii="仿宋_GB2312" w:eastAsia="仿宋_GB2312"/>
          <w:color w:val="auto"/>
          <w:sz w:val="32"/>
          <w:szCs w:val="32"/>
          <w:u w:val="none"/>
        </w:rPr>
        <w:t>政府采购工程预算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w:t>
      </w:r>
      <w:r>
        <w:rPr>
          <w:rFonts w:hint="eastAsia" w:ascii="仿宋_GB2312" w:eastAsia="仿宋_GB2312"/>
          <w:color w:val="000000"/>
          <w:sz w:val="32"/>
          <w:szCs w:val="32"/>
        </w:rPr>
        <w:t>政府采购服务预算</w:t>
      </w:r>
      <w:r>
        <w:rPr>
          <w:rFonts w:hint="eastAsia" w:ascii="仿宋_GB2312" w:eastAsia="仿宋_GB2312"/>
          <w:color w:val="000000"/>
          <w:sz w:val="32"/>
          <w:szCs w:val="32"/>
          <w:lang w:val="en-US" w:eastAsia="zh-CN"/>
        </w:rPr>
        <w:t>2448.20</w:t>
      </w:r>
      <w:r>
        <w:rPr>
          <w:rFonts w:hint="eastAsia" w:ascii="仿宋_GB2312" w:eastAsia="仿宋_GB2312"/>
          <w:color w:val="000000"/>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pBdr>
          <w:bottom w:val="single" w:color="FFFFFF" w:sz="4" w:space="31"/>
        </w:pBdr>
        <w:topLinePunct/>
        <w:adjustRightInd w:val="0"/>
        <w:spacing w:line="600" w:lineRule="exact"/>
        <w:ind w:firstLine="640" w:firstLineChars="200"/>
        <w:rPr>
          <w:rFonts w:ascii="仿宋_GB2312" w:eastAsia="仿宋_GB2312"/>
          <w:sz w:val="32"/>
          <w:szCs w:val="32"/>
        </w:rPr>
      </w:pPr>
      <w:r>
        <w:rPr>
          <w:rFonts w:hint="eastAsia" w:ascii="仿宋_GB2312" w:eastAsia="仿宋_GB2312"/>
          <w:color w:val="auto"/>
          <w:sz w:val="32"/>
          <w:szCs w:val="32"/>
          <w:u w:val="none"/>
          <w:lang w:eastAsia="zh-CN"/>
        </w:rPr>
        <w:t>本单位2025年无政府购买服务预算</w:t>
      </w:r>
      <w:r>
        <w:rPr>
          <w:rFonts w:hint="eastAsia" w:ascii="仿宋_GB2312" w:eastAsia="仿宋_GB2312"/>
          <w:sz w:val="32"/>
          <w:szCs w:val="32"/>
        </w:rPr>
        <w:t>。</w:t>
      </w:r>
    </w:p>
    <w:p>
      <w:pPr>
        <w:pBdr>
          <w:bottom w:val="single" w:color="FFFFFF" w:sz="4" w:space="31"/>
        </w:pBdr>
        <w:topLinePunct/>
        <w:adjustRightInd w:val="0"/>
        <w:spacing w:line="60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pBdr>
          <w:bottom w:val="single" w:color="FFFFFF" w:sz="4" w:space="31"/>
        </w:pBdr>
        <w:topLinePunct/>
        <w:adjustRightInd w:val="0"/>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年北京市法律援助中心（1家参公管理事业单位）的机关运行经费财政拨款预算</w:t>
      </w:r>
      <w:r>
        <w:rPr>
          <w:rFonts w:hint="eastAsia" w:ascii="仿宋_GB2312" w:eastAsia="仿宋_GB2312"/>
          <w:sz w:val="32"/>
          <w:szCs w:val="32"/>
          <w:lang w:val="en-US" w:eastAsia="zh-CN"/>
        </w:rPr>
        <w:t>255.58</w:t>
      </w:r>
      <w:r>
        <w:rPr>
          <w:rFonts w:hint="eastAsia" w:ascii="仿宋_GB2312" w:eastAsia="仿宋_GB2312"/>
          <w:sz w:val="32"/>
          <w:szCs w:val="32"/>
        </w:rPr>
        <w:t>万元。</w:t>
      </w:r>
    </w:p>
    <w:p>
      <w:pPr>
        <w:pBdr>
          <w:bottom w:val="single" w:color="FFFFFF" w:sz="4" w:space="31"/>
        </w:pBdr>
        <w:topLinePunct/>
        <w:adjustRightInd w:val="0"/>
        <w:spacing w:line="60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pBdr>
          <w:bottom w:val="single" w:color="FFFFFF" w:sz="4" w:space="31"/>
        </w:pBdr>
        <w:topLinePunct/>
        <w:adjustRightInd w:val="0"/>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年，北京市法律援助中心填报绩效目标的预算项目8个，占本单位本年预算项目8个的100%。填报绩效目标的项目支出预算</w:t>
      </w:r>
      <w:r>
        <w:rPr>
          <w:rFonts w:hint="eastAsia" w:ascii="仿宋_GB2312" w:eastAsia="仿宋_GB2312"/>
          <w:sz w:val="32"/>
          <w:szCs w:val="32"/>
          <w:lang w:val="en-US" w:eastAsia="zh-CN"/>
        </w:rPr>
        <w:t>2641.61</w:t>
      </w:r>
      <w:r>
        <w:rPr>
          <w:rFonts w:hint="eastAsia" w:ascii="仿宋_GB2312" w:eastAsia="仿宋_GB2312"/>
          <w:sz w:val="32"/>
          <w:szCs w:val="32"/>
        </w:rPr>
        <w:t>万元，占本单位本年项目支出预算的100%。</w:t>
      </w:r>
    </w:p>
    <w:p>
      <w:pPr>
        <w:pBdr>
          <w:bottom w:val="single" w:color="FFFFFF" w:sz="4" w:space="31"/>
        </w:pBdr>
        <w:topLinePunct/>
        <w:adjustRightInd w:val="0"/>
        <w:spacing w:line="60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pBdr>
          <w:bottom w:val="single" w:color="FFFFFF" w:sz="4" w:space="31"/>
        </w:pBdr>
        <w:topLinePunct/>
        <w:adjustRightInd w:val="0"/>
        <w:spacing w:line="600" w:lineRule="exact"/>
        <w:ind w:firstLine="640" w:firstLineChars="200"/>
        <w:rPr>
          <w:rFonts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年无重点行政事业性收费。</w:t>
      </w:r>
    </w:p>
    <w:p>
      <w:pPr>
        <w:pBdr>
          <w:bottom w:val="single" w:color="FFFFFF" w:sz="4" w:space="31"/>
        </w:pBdr>
        <w:topLinePunct/>
        <w:adjustRightInd w:val="0"/>
        <w:spacing w:line="60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pBdr>
          <w:bottom w:val="single" w:color="FFFFFF" w:sz="4" w:space="31"/>
        </w:pBdr>
        <w:topLinePunct/>
        <w:adjustRightInd w:val="0"/>
        <w:spacing w:line="600" w:lineRule="exact"/>
        <w:ind w:firstLine="640" w:firstLineChars="200"/>
        <w:rPr>
          <w:rFonts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5</w:t>
      </w:r>
      <w:r>
        <w:rPr>
          <w:rFonts w:hint="eastAsia" w:ascii="仿宋_GB2312" w:eastAsia="仿宋_GB2312"/>
          <w:sz w:val="32"/>
          <w:szCs w:val="32"/>
        </w:rPr>
        <w:t>年无国有资本经营预算财政拨款安排的预算。</w:t>
      </w:r>
    </w:p>
    <w:p>
      <w:pPr>
        <w:numPr>
          <w:ilvl w:val="0"/>
          <w:numId w:val="3"/>
        </w:numPr>
        <w:pBdr>
          <w:bottom w:val="single" w:color="FFFFFF" w:sz="4" w:space="31"/>
        </w:pBdr>
        <w:topLinePunct/>
        <w:adjustRightInd w:val="0"/>
        <w:spacing w:line="600" w:lineRule="exact"/>
        <w:ind w:firstLine="640" w:firstLineChars="200"/>
        <w:rPr>
          <w:rFonts w:hint="eastAsia" w:ascii="楷体_GB2312" w:eastAsia="楷体_GB2312"/>
          <w:color w:val="000000"/>
          <w:sz w:val="32"/>
          <w:szCs w:val="32"/>
        </w:rPr>
      </w:pPr>
      <w:r>
        <w:rPr>
          <w:rFonts w:hint="eastAsia" w:ascii="楷体_GB2312" w:eastAsia="楷体_GB2312"/>
          <w:color w:val="000000"/>
          <w:sz w:val="32"/>
          <w:szCs w:val="32"/>
        </w:rPr>
        <w:t>国有资产占用情况说明</w:t>
      </w:r>
    </w:p>
    <w:p>
      <w:pPr>
        <w:numPr>
          <w:ilvl w:val="0"/>
          <w:numId w:val="0"/>
        </w:numPr>
        <w:pBdr>
          <w:bottom w:val="single" w:color="FFFFFF" w:sz="4" w:space="31"/>
        </w:pBdr>
        <w:topLinePunct/>
        <w:adjustRightInd w:val="0"/>
        <w:spacing w:line="60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rPr>
        <w:t>截至202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年底，北京市法律援助中心共有车辆0台，0万元；</w:t>
      </w:r>
      <w:r>
        <w:rPr>
          <w:rFonts w:hint="eastAsia" w:ascii="仿宋_GB2312" w:eastAsia="仿宋_GB2312"/>
          <w:color w:val="000000"/>
          <w:spacing w:val="-2"/>
          <w:sz w:val="32"/>
          <w:szCs w:val="32"/>
        </w:rPr>
        <w:t>单位价值50万元以上的通用设备0台（套），共计0万元，</w:t>
      </w:r>
      <w:r>
        <w:rPr>
          <w:rFonts w:hint="eastAsia" w:ascii="仿宋_GB2312" w:eastAsia="仿宋_GB2312"/>
          <w:color w:val="000000"/>
          <w:sz w:val="32"/>
          <w:szCs w:val="32"/>
          <w:u w:val="none"/>
          <w:lang w:val="en-US" w:eastAsia="zh-CN"/>
        </w:rPr>
        <w:t>202</w:t>
      </w:r>
      <w:r>
        <w:rPr>
          <w:rFonts w:hint="default" w:ascii="仿宋_GB2312" w:eastAsia="仿宋_GB2312"/>
          <w:color w:val="000000"/>
          <w:sz w:val="32"/>
          <w:szCs w:val="32"/>
          <w:u w:val="none"/>
          <w:lang w:val="en" w:eastAsia="zh-CN"/>
        </w:rPr>
        <w:t>5</w:t>
      </w:r>
      <w:r>
        <w:rPr>
          <w:rFonts w:hint="eastAsia" w:ascii="仿宋_GB2312" w:eastAsia="仿宋_GB2312"/>
          <w:color w:val="000000"/>
          <w:sz w:val="32"/>
          <w:szCs w:val="32"/>
          <w:u w:val="none"/>
          <w:lang w:val="en-US" w:eastAsia="zh-CN"/>
        </w:rPr>
        <w:t>年预算安排中，购置单位价值50万元以上的设备0台（套），共计0万元。</w:t>
      </w:r>
    </w:p>
    <w:p>
      <w:pPr>
        <w:numPr>
          <w:ilvl w:val="0"/>
          <w:numId w:val="4"/>
        </w:numPr>
        <w:pBdr>
          <w:bottom w:val="single" w:color="FFFFFF" w:sz="4" w:space="31"/>
        </w:pBdr>
        <w:topLinePunct/>
        <w:adjustRightInd w:val="0"/>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名词解释</w:t>
      </w:r>
    </w:p>
    <w:p>
      <w:pPr>
        <w:numPr>
          <w:ilvl w:val="0"/>
          <w:numId w:val="0"/>
        </w:numPr>
        <w:pBdr>
          <w:bottom w:val="single" w:color="FFFFFF" w:sz="4" w:space="31"/>
        </w:pBdr>
        <w:topLinePunct/>
        <w:adjustRightInd w:val="0"/>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numPr>
          <w:ilvl w:val="0"/>
          <w:numId w:val="0"/>
        </w:numPr>
        <w:pBdr>
          <w:bottom w:val="single" w:color="FFFFFF" w:sz="4" w:space="31"/>
        </w:pBdr>
        <w:topLinePunct/>
        <w:adjustRightInd w:val="0"/>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numPr>
          <w:ilvl w:val="0"/>
          <w:numId w:val="0"/>
        </w:numPr>
        <w:pBdr>
          <w:bottom w:val="single" w:color="FFFFFF" w:sz="4" w:space="31"/>
        </w:pBdr>
        <w:topLinePunct/>
        <w:adjustRightInd w:val="0"/>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pBdr>
          <w:bottom w:val="single" w:color="FFFFFF" w:sz="4" w:space="31"/>
        </w:pBdr>
        <w:topLinePunct/>
        <w:adjustRightInd w:val="0"/>
        <w:spacing w:line="60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60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w:t>
      </w:r>
      <w:r>
        <w:rPr>
          <w:rFonts w:hint="eastAsia" w:ascii="方正小标宋简体" w:eastAsia="方正小标宋简体"/>
          <w:color w:val="000000"/>
          <w:sz w:val="36"/>
          <w:szCs w:val="36"/>
          <w:lang w:val="en-US" w:eastAsia="zh-CN"/>
        </w:rPr>
        <w:t>5</w:t>
      </w:r>
      <w:r>
        <w:rPr>
          <w:rFonts w:hint="eastAsia" w:ascii="方正小标宋简体" w:eastAsia="方正小标宋简体"/>
          <w:color w:val="000000"/>
          <w:sz w:val="36"/>
          <w:szCs w:val="36"/>
        </w:rPr>
        <w:t>年单位预算报表</w:t>
      </w:r>
    </w:p>
    <w:p>
      <w:pPr>
        <w:autoSpaceDE w:val="0"/>
        <w:autoSpaceDN w:val="0"/>
        <w:adjustRightInd w:val="0"/>
        <w:spacing w:line="600" w:lineRule="exact"/>
        <w:jc w:val="left"/>
        <w:rPr>
          <w:rFonts w:ascii="方正小标宋简体" w:eastAsia="方正小标宋简体"/>
          <w:color w:val="000000"/>
          <w:sz w:val="36"/>
          <w:szCs w:val="36"/>
        </w:rPr>
      </w:pPr>
    </w:p>
    <w:p>
      <w:pPr>
        <w:spacing w:line="600" w:lineRule="exact"/>
        <w:ind w:firstLine="640" w:firstLineChars="200"/>
      </w:pPr>
      <w:r>
        <w:rPr>
          <w:rFonts w:hint="eastAsia" w:ascii="仿宋_GB2312" w:eastAsia="仿宋_GB2312"/>
          <w:color w:val="000000"/>
          <w:sz w:val="32"/>
          <w:szCs w:val="32"/>
        </w:rPr>
        <w:t>附件：北京市法律援助中心202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年度单位预算报表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803050406030204"/>
    <w:charset w:val="00"/>
    <w:family w:val="roman"/>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Droid Sans">
    <w:altName w:val="Noto Serif CJK JP"/>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p>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5C17B"/>
    <w:multiLevelType w:val="singleLevel"/>
    <w:tmpl w:val="85D5C17B"/>
    <w:lvl w:ilvl="0" w:tentative="0">
      <w:start w:val="2"/>
      <w:numFmt w:val="chineseCounting"/>
      <w:suff w:val="nothing"/>
      <w:lvlText w:val="%1、"/>
      <w:lvlJc w:val="left"/>
      <w:rPr>
        <w:rFonts w:hint="eastAsia"/>
      </w:rPr>
    </w:lvl>
  </w:abstractNum>
  <w:abstractNum w:abstractNumId="1">
    <w:nsid w:val="B8512D62"/>
    <w:multiLevelType w:val="singleLevel"/>
    <w:tmpl w:val="B8512D62"/>
    <w:lvl w:ilvl="0" w:tentative="0">
      <w:start w:val="6"/>
      <w:numFmt w:val="chineseCounting"/>
      <w:suff w:val="nothing"/>
      <w:lvlText w:val="%1、"/>
      <w:lvlJc w:val="left"/>
      <w:rPr>
        <w:rFonts w:hint="eastAsia"/>
      </w:rPr>
    </w:lvl>
  </w:abstractNum>
  <w:abstractNum w:abstractNumId="2">
    <w:nsid w:val="FF2E9D19"/>
    <w:multiLevelType w:val="singleLevel"/>
    <w:tmpl w:val="FF2E9D19"/>
    <w:lvl w:ilvl="0" w:tentative="0">
      <w:start w:val="3"/>
      <w:numFmt w:val="chineseCounting"/>
      <w:suff w:val="nothing"/>
      <w:lvlText w:val="（%1）"/>
      <w:lvlJc w:val="left"/>
      <w:pPr>
        <w:ind w:left="-220"/>
      </w:pPr>
      <w:rPr>
        <w:rFonts w:hint="eastAsia"/>
      </w:rPr>
    </w:lvl>
  </w:abstractNum>
  <w:abstractNum w:abstractNumId="3">
    <w:nsid w:val="2256643A"/>
    <w:multiLevelType w:val="singleLevel"/>
    <w:tmpl w:val="2256643A"/>
    <w:lvl w:ilvl="0" w:tentative="0">
      <w:start w:val="7"/>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NTU3NGQwNmY1ZTNiMDE5YzQ4Y2NhMzIzODk0YWEifQ=="/>
    <w:docVar w:name="KSO_WPS_MARK_KEY" w:val="bbd7fa89-0263-4f05-b663-a1d764eef7e9"/>
  </w:docVars>
  <w:rsids>
    <w:rsidRoot w:val="006F349F"/>
    <w:rsid w:val="0019243A"/>
    <w:rsid w:val="00206B37"/>
    <w:rsid w:val="0033023E"/>
    <w:rsid w:val="00426247"/>
    <w:rsid w:val="00527055"/>
    <w:rsid w:val="005B6BDF"/>
    <w:rsid w:val="006F349F"/>
    <w:rsid w:val="00940553"/>
    <w:rsid w:val="00B22FDF"/>
    <w:rsid w:val="00B46FDB"/>
    <w:rsid w:val="00B82B5A"/>
    <w:rsid w:val="00B82BCC"/>
    <w:rsid w:val="00C9704E"/>
    <w:rsid w:val="00CF08E8"/>
    <w:rsid w:val="00D21B86"/>
    <w:rsid w:val="00D34A45"/>
    <w:rsid w:val="00F22F89"/>
    <w:rsid w:val="00FA4564"/>
    <w:rsid w:val="03B40FDA"/>
    <w:rsid w:val="04DC3B8C"/>
    <w:rsid w:val="08002443"/>
    <w:rsid w:val="0B1C2CB6"/>
    <w:rsid w:val="0C642EB1"/>
    <w:rsid w:val="0E2A0014"/>
    <w:rsid w:val="0E71409B"/>
    <w:rsid w:val="0FBD6E6C"/>
    <w:rsid w:val="0FC64305"/>
    <w:rsid w:val="14DC5FE6"/>
    <w:rsid w:val="161E08FB"/>
    <w:rsid w:val="187A1D9E"/>
    <w:rsid w:val="18A570C1"/>
    <w:rsid w:val="1B4D5A50"/>
    <w:rsid w:val="1E207D36"/>
    <w:rsid w:val="21B3517B"/>
    <w:rsid w:val="22C002D6"/>
    <w:rsid w:val="23D26466"/>
    <w:rsid w:val="242E520B"/>
    <w:rsid w:val="29E34FC1"/>
    <w:rsid w:val="2CAB33B0"/>
    <w:rsid w:val="2D151C3D"/>
    <w:rsid w:val="2D76FFE8"/>
    <w:rsid w:val="2E7F7714"/>
    <w:rsid w:val="33DB1D58"/>
    <w:rsid w:val="3499383E"/>
    <w:rsid w:val="34DD74E5"/>
    <w:rsid w:val="377F067A"/>
    <w:rsid w:val="3B3D6F2F"/>
    <w:rsid w:val="3B467738"/>
    <w:rsid w:val="3C7707DD"/>
    <w:rsid w:val="3D202282"/>
    <w:rsid w:val="3D210B55"/>
    <w:rsid w:val="40943E93"/>
    <w:rsid w:val="417A5FC0"/>
    <w:rsid w:val="4CDF7E46"/>
    <w:rsid w:val="4D9D3EBB"/>
    <w:rsid w:val="52726953"/>
    <w:rsid w:val="5463583A"/>
    <w:rsid w:val="547C0E64"/>
    <w:rsid w:val="55546EF7"/>
    <w:rsid w:val="582B03E3"/>
    <w:rsid w:val="5B35FBF0"/>
    <w:rsid w:val="5E754DDF"/>
    <w:rsid w:val="5FB70224"/>
    <w:rsid w:val="632415B7"/>
    <w:rsid w:val="646F1241"/>
    <w:rsid w:val="691A6618"/>
    <w:rsid w:val="69540E1C"/>
    <w:rsid w:val="6A576E16"/>
    <w:rsid w:val="6CFE0BE9"/>
    <w:rsid w:val="6DBFA85C"/>
    <w:rsid w:val="6E72052B"/>
    <w:rsid w:val="70CD6084"/>
    <w:rsid w:val="75D1697B"/>
    <w:rsid w:val="76402E54"/>
    <w:rsid w:val="781638BD"/>
    <w:rsid w:val="7A684727"/>
    <w:rsid w:val="7EFF2699"/>
    <w:rsid w:val="BEF5D1AE"/>
    <w:rsid w:val="DDE7D0E8"/>
    <w:rsid w:val="E7BFE06B"/>
    <w:rsid w:val="F3FE158B"/>
    <w:rsid w:val="FDFFD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Times New Roman" w:hAnsi="Times New Roman" w:eastAsia="宋体" w:cs="Times New Roman"/>
    </w:rPr>
  </w:style>
  <w:style w:type="paragraph" w:styleId="4">
    <w:name w:val="annotation text"/>
    <w:basedOn w:val="1"/>
    <w:semiHidden/>
    <w:unhideWhenUsed/>
    <w:qFormat/>
    <w:uiPriority w:val="99"/>
    <w:pPr>
      <w:jc w:val="left"/>
    </w:pPr>
  </w:style>
  <w:style w:type="paragraph" w:styleId="5">
    <w:name w:val="toc 3"/>
    <w:basedOn w:val="1"/>
    <w:next w:val="1"/>
    <w:link w:val="15"/>
    <w:unhideWhenUsed/>
    <w:qFormat/>
    <w:uiPriority w:val="39"/>
    <w:pPr>
      <w:spacing w:line="560" w:lineRule="exact"/>
      <w:ind w:firstLine="707" w:firstLineChars="220"/>
    </w:pPr>
    <w:rPr>
      <w:rFonts w:ascii="仿宋" w:hAnsi="仿宋" w:eastAsia="仿宋" w:cs="仿宋"/>
      <w:b/>
      <w:sz w:val="32"/>
      <w:szCs w:val="32"/>
    </w:rPr>
  </w:style>
  <w:style w:type="paragraph" w:styleId="6">
    <w:name w:val="Balloon Text"/>
    <w:basedOn w:val="1"/>
    <w:link w:val="14"/>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11">
    <w:name w:val="Hyperlink"/>
    <w:basedOn w:val="10"/>
    <w:qFormat/>
    <w:uiPriority w:val="0"/>
    <w:rPr>
      <w:color w:val="0000FF"/>
      <w:u w:val="single"/>
    </w:rPr>
  </w:style>
  <w:style w:type="character" w:styleId="12">
    <w:name w:val="annotation reference"/>
    <w:basedOn w:val="10"/>
    <w:semiHidden/>
    <w:unhideWhenUsed/>
    <w:qFormat/>
    <w:uiPriority w:val="99"/>
    <w:rPr>
      <w:sz w:val="21"/>
      <w:szCs w:val="21"/>
    </w:rPr>
  </w:style>
  <w:style w:type="character" w:customStyle="1" w:styleId="13">
    <w:name w:val="页眉 Char"/>
    <w:basedOn w:val="10"/>
    <w:link w:val="8"/>
    <w:qFormat/>
    <w:uiPriority w:val="0"/>
    <w:rPr>
      <w:rFonts w:asciiTheme="minorHAnsi" w:hAnsiTheme="minorHAnsi" w:eastAsiaTheme="minorEastAsia" w:cstheme="minorBidi"/>
      <w:kern w:val="2"/>
      <w:sz w:val="18"/>
      <w:szCs w:val="18"/>
    </w:rPr>
  </w:style>
  <w:style w:type="character" w:customStyle="1" w:styleId="14">
    <w:name w:val="批注框文本 Char"/>
    <w:basedOn w:val="10"/>
    <w:link w:val="6"/>
    <w:qFormat/>
    <w:uiPriority w:val="0"/>
    <w:rPr>
      <w:rFonts w:asciiTheme="minorHAnsi" w:hAnsiTheme="minorHAnsi" w:eastAsiaTheme="minorEastAsia" w:cstheme="minorBidi"/>
      <w:kern w:val="2"/>
      <w:sz w:val="18"/>
      <w:szCs w:val="18"/>
    </w:rPr>
  </w:style>
  <w:style w:type="character" w:customStyle="1" w:styleId="15">
    <w:name w:val="目录 3 Char"/>
    <w:link w:val="5"/>
    <w:qFormat/>
    <w:uiPriority w:val="39"/>
    <w:rPr>
      <w:rFonts w:ascii="仿宋" w:hAnsi="仿宋" w:eastAsia="仿宋" w:cs="仿宋"/>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data/home/fyzx/&#29579;&#26195;&#38686;/&#24037;&#20316;/&#39044;&#31639;/2023&#39044;&#31639;/2023&#39044;&#31639;&#20844;&#24320;/&#39292;&#29366;&#2227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manualLayout>
          <c:layoutTarget val="inner"/>
          <c:xMode val="edge"/>
          <c:yMode val="edge"/>
          <c:x val="0.325777777777778"/>
          <c:y val="0.216458333333333"/>
          <c:w val="0.352611111111111"/>
          <c:h val="0.587685185185185"/>
        </c:manualLayout>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Lbls>
            <c:dLbl>
              <c:idx val="1"/>
              <c:layout>
                <c:manualLayout>
                  <c:x val="-0.0216559512424722"/>
                  <c:y val="0.0086514404090315"/>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2"/>
              <c:layout>
                <c:manualLayout>
                  <c:x val="0.0590904871105079"/>
                  <c:y val="0.0329414668898715"/>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[工作簿1]Sheet1!$C$16:$C$18</c:f>
              <c:strCache>
                <c:ptCount val="3"/>
                <c:pt idx="0">
                  <c:v>财政拨款收入</c:v>
                </c:pt>
                <c:pt idx="1">
                  <c:v>其他收入</c:v>
                </c:pt>
                <c:pt idx="2">
                  <c:v>上年结转结余</c:v>
                </c:pt>
              </c:strCache>
            </c:strRef>
          </c:cat>
          <c:val>
            <c:numRef>
              <c:f>[工作簿1]Sheet1!$D$16:$D$18</c:f>
              <c:numCache>
                <c:formatCode>0.00%</c:formatCode>
                <c:ptCount val="3"/>
                <c:pt idx="0">
                  <c:v>0.9997</c:v>
                </c:pt>
                <c:pt idx="1">
                  <c:v>0.0001</c:v>
                </c:pt>
                <c:pt idx="2">
                  <c:v>0.0002</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endParaRPr sz="1400" b="0"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overlay val="false"/>
      <c:spPr>
        <a:noFill/>
        <a:ln>
          <a:noFill/>
        </a:ln>
        <a:effectLst/>
      </c:spPr>
    </c:title>
    <c:autoTitleDeleted val="false"/>
    <c:plotArea>
      <c:layout/>
      <c:pieChart>
        <c:varyColors val="true"/>
        <c:ser>
          <c:idx val="0"/>
          <c:order val="0"/>
          <c:explosion val="0"/>
          <c:dPt>
            <c:idx val="0"/>
            <c:bubble3D val="false"/>
            <c:explosion val="0"/>
            <c:spPr>
              <a:solidFill>
                <a:schemeClr val="accent1"/>
              </a:solidFill>
              <a:ln w="19050">
                <a:solidFill>
                  <a:schemeClr val="lt1"/>
                </a:solidFill>
              </a:ln>
              <a:effectLst/>
            </c:spPr>
          </c:dPt>
          <c:dPt>
            <c:idx val="1"/>
            <c:bubble3D val="false"/>
            <c:explosion val="0"/>
            <c:spPr>
              <a:solidFill>
                <a:schemeClr val="accent2"/>
              </a:solidFill>
              <a:ln w="19050">
                <a:solidFill>
                  <a:schemeClr val="lt1"/>
                </a:solidFill>
              </a:ln>
              <a:effectLst/>
            </c:spPr>
          </c:dPt>
          <c:dLbls>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969696">
                          <a:alpha val="100000"/>
                        </a:srgbClr>
                      </a:solidFill>
                      <a:prstDash val="solid"/>
                      <a:round/>
                    </a:ln>
                  </c:spPr>
                </c15:leaderLines>
              </c:ext>
            </c:extLst>
          </c:dLbls>
          <c:cat>
            <c:strRef>
              <c:f>[饼状图.xls]Sheet1!$A$27:$A$28</c:f>
              <c:strCache>
                <c:ptCount val="2"/>
                <c:pt idx="0">
                  <c:v>基本支出</c:v>
                </c:pt>
                <c:pt idx="1">
                  <c:v>项目支出</c:v>
                </c:pt>
              </c:strCache>
            </c:strRef>
          </c:cat>
          <c:val>
            <c:numRef>
              <c:f>[饼状图.xls]Sheet1!$B$27:$B$28</c:f>
              <c:numCache>
                <c:formatCode>General</c:formatCode>
                <c:ptCount val="2"/>
                <c:pt idx="0">
                  <c:v>1275.54</c:v>
                </c:pt>
                <c:pt idx="1">
                  <c:v>2641.62</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1971</Words>
  <Characters>2224</Characters>
  <Lines>15</Lines>
  <Paragraphs>4</Paragraphs>
  <TotalTime>56</TotalTime>
  <ScaleCrop>false</ScaleCrop>
  <LinksUpToDate>false</LinksUpToDate>
  <CharactersWithSpaces>2233</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2023-03-07T12:53:00Z</dcterms:created>
  <dc:creator>Administrator</dc:creator>
  <cp:lastModifiedBy>sfj</cp:lastModifiedBy>
  <cp:lastPrinted>2025-02-12T17:35:00Z</cp:lastPrinted>
  <dcterms:modified xsi:type="dcterms:W3CDTF">2025-03-05T17:20:39Z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372386B4826B4EBDA333468DD287ABCD</vt:lpwstr>
  </property>
</Properties>
</file>