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北京市司法局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年政府信息公开工作年度报告</w:t>
      </w: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rPr>
          <w:rFonts w:hint="eastAsia"/>
          <w:color w:val="auto"/>
        </w:rPr>
      </w:pP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</w:rPr>
        <w:t>依据《中华人民共和国政府信息公开条例》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eastAsia="zh-CN"/>
        </w:rPr>
        <w:t>（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</w:rPr>
        <w:t>以下简称《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政府信息公开条例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</w:rPr>
        <w:t>》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eastAsia="zh-CN"/>
        </w:rPr>
        <w:t>）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</w:rPr>
        <w:t>第五十条规定，编制本报告。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rPr>
          <w:rFonts w:hint="eastAsia" w:ascii="黑体" w:hAnsi="黑体" w:eastAsia="黑体" w:cs="宋体"/>
          <w:color w:val="auto"/>
          <w:spacing w:val="8"/>
          <w:kern w:val="0"/>
          <w:sz w:val="32"/>
          <w:szCs w:val="32"/>
        </w:rPr>
      </w:pPr>
      <w:r>
        <w:rPr>
          <w:rFonts w:hint="eastAsia" w:ascii="黑体" w:hAnsi="黑体" w:eastAsia="黑体" w:cs="宋体"/>
          <w:color w:val="auto"/>
          <w:spacing w:val="8"/>
          <w:kern w:val="0"/>
          <w:sz w:val="32"/>
          <w:szCs w:val="32"/>
        </w:rPr>
        <w:t>一、总体情况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" w:eastAsia="zh-CN"/>
        </w:rPr>
        <w:t>2024年，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北京市司法局党委高度重视政府信息公开工作，严格按照《政府信息公开条例》规定，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" w:eastAsia="zh-CN"/>
        </w:rPr>
        <w:t>结合司法行政工作实际，进一步加强政府信息公开工作的组织领导，不断完善政府信息公开配套制度和工作规范，切实丰富政府信息公开的载体和形式，有力提升了广大群众对司法行政工作的知晓率和满意度。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5" w:firstLineChars="200"/>
        <w:jc w:val="both"/>
        <w:textAlignment w:val="auto"/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  <w:lang w:val="en-US" w:eastAsia="zh-CN"/>
        </w:rPr>
        <w:t>（一）全面强化组织领导。一是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成立政府信息公开工作领导小组，根据《北京市2024年政务公开工作要点》明确职责分工，确保有序开展。</w:t>
      </w:r>
      <w:r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  <w:lang w:val="en-US" w:eastAsia="zh-CN"/>
        </w:rPr>
        <w:t>二是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加强政府信息公开的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" w:eastAsia="zh-CN"/>
        </w:rPr>
        <w:t>系统化与标准化</w:t>
      </w:r>
      <w:r>
        <w:rPr>
          <w:rFonts w:hint="eastAsia" w:ascii="仿宋_GB2312" w:hAnsi="宋体" w:eastAsia="仿宋_GB2312" w:cs="宋体"/>
          <w:b w:val="0"/>
          <w:bCs w:val="0"/>
          <w:spacing w:val="8"/>
          <w:kern w:val="0"/>
          <w:sz w:val="32"/>
          <w:szCs w:val="32"/>
          <w:lang w:val="en" w:eastAsia="zh-CN"/>
        </w:rPr>
        <w:t>，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有效发挥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" w:eastAsia="zh-CN"/>
        </w:rPr>
        <w:t>各处室信息联络员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作用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" w:eastAsia="zh-CN"/>
        </w:rPr>
        <w:t>，做到统一报送、规范公开。</w:t>
      </w:r>
      <w:r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  <w:lang w:val="en" w:eastAsia="zh-CN"/>
        </w:rPr>
        <w:t>三是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" w:eastAsia="zh-CN"/>
        </w:rPr>
        <w:t>强化政府信息工作的重要性，通过责任监督和问题反馈，提高各处室报送信息的紧迫性与积极性。</w:t>
      </w:r>
    </w:p>
    <w:p>
      <w:pPr>
        <w:keepNext w:val="0"/>
        <w:keepLines w:val="0"/>
        <w:pageBreakBefore w:val="0"/>
        <w:widowControl w:val="0"/>
        <w:tabs>
          <w:tab w:val="left" w:pos="256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5" w:firstLineChars="200"/>
        <w:textAlignment w:val="auto"/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  <w:lang w:val="en-US" w:eastAsia="zh-CN"/>
        </w:rPr>
        <w:t>（二）持续深化</w:t>
      </w:r>
      <w:r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  <w:lang w:val="en" w:eastAsia="zh-CN"/>
        </w:rPr>
        <w:t>主动公开</w:t>
      </w:r>
      <w:r>
        <w:rPr>
          <w:rFonts w:hint="eastAsia" w:ascii="仿宋_GB2312" w:hAnsi="宋体" w:eastAsia="仿宋_GB2312" w:cs="宋体"/>
          <w:b/>
          <w:bCs/>
          <w:color w:val="auto"/>
          <w:spacing w:val="8"/>
          <w:kern w:val="0"/>
          <w:sz w:val="32"/>
          <w:szCs w:val="32"/>
          <w:lang w:val="en" w:eastAsia="zh-CN"/>
        </w:rPr>
        <w:t>。一是</w:t>
      </w:r>
      <w:r>
        <w:rPr>
          <w:rFonts w:hint="eastAsia" w:ascii="仿宋_GB2312" w:hAnsi="宋体" w:eastAsia="仿宋_GB2312" w:cs="宋体"/>
          <w:color w:val="auto"/>
          <w:spacing w:val="8"/>
          <w:kern w:val="0"/>
          <w:sz w:val="32"/>
          <w:szCs w:val="32"/>
          <w:lang w:val="en-US" w:eastAsia="zh-CN"/>
        </w:rPr>
        <w:t>加大政策解读力度，完成发布计划内政策文件4次和政策解读6次。</w:t>
      </w:r>
      <w:r>
        <w:rPr>
          <w:rFonts w:hint="eastAsia" w:ascii="仿宋_GB2312" w:hAnsi="宋体" w:eastAsia="仿宋_GB2312" w:cs="宋体"/>
          <w:b/>
          <w:bCs/>
          <w:color w:val="auto"/>
          <w:spacing w:val="8"/>
          <w:kern w:val="0"/>
          <w:sz w:val="32"/>
          <w:szCs w:val="32"/>
          <w:lang w:val="en-US" w:eastAsia="zh-CN"/>
        </w:rPr>
        <w:t>二是</w:t>
      </w:r>
      <w:r>
        <w:rPr>
          <w:rFonts w:hint="eastAsia" w:ascii="仿宋_GB2312" w:hAnsi="宋体" w:eastAsia="仿宋_GB2312" w:cs="宋体"/>
          <w:b w:val="0"/>
          <w:bCs w:val="0"/>
          <w:color w:val="auto"/>
          <w:spacing w:val="8"/>
          <w:kern w:val="0"/>
          <w:sz w:val="32"/>
          <w:szCs w:val="32"/>
          <w:lang w:val="en-US" w:eastAsia="zh-CN"/>
        </w:rPr>
        <w:t>丰富解读形式，充实解读内</w:t>
      </w:r>
      <w:r>
        <w:rPr>
          <w:rFonts w:hint="eastAsia" w:ascii="仿宋_GB2312" w:hAnsi="宋体" w:eastAsia="仿宋_GB2312" w:cs="宋体"/>
          <w:color w:val="auto"/>
          <w:spacing w:val="8"/>
          <w:kern w:val="0"/>
          <w:sz w:val="32"/>
          <w:szCs w:val="32"/>
          <w:lang w:val="en-US" w:eastAsia="zh-CN"/>
        </w:rPr>
        <w:t>容，通过发布问答解读1篇、视频解读1篇、一图读懂1篇和政策解读3篇，进一步提升政策的可读性和传播力。</w:t>
      </w:r>
      <w:r>
        <w:rPr>
          <w:rFonts w:hint="eastAsia" w:ascii="仿宋_GB2312" w:hAnsi="宋体" w:eastAsia="仿宋_GB2312" w:cs="宋体"/>
          <w:b/>
          <w:bCs/>
          <w:color w:val="auto"/>
          <w:spacing w:val="8"/>
          <w:kern w:val="0"/>
          <w:sz w:val="32"/>
          <w:szCs w:val="32"/>
          <w:lang w:val="en-US" w:eastAsia="zh-CN"/>
        </w:rPr>
        <w:t>三是</w:t>
      </w:r>
      <w:r>
        <w:rPr>
          <w:rFonts w:hint="eastAsia" w:ascii="仿宋_GB2312" w:hAnsi="宋体" w:eastAsia="仿宋_GB2312" w:cs="宋体"/>
          <w:color w:val="auto"/>
          <w:spacing w:val="8"/>
          <w:kern w:val="0"/>
          <w:sz w:val="32"/>
          <w:szCs w:val="32"/>
          <w:lang w:val="en-US" w:eastAsia="zh-CN"/>
        </w:rPr>
        <w:t>集中梳理全站政策文件155条、政策解读78条。调整“政策文件”“政策解读”“规范性文件”“其他相关政策文件”业务动态栏。</w:t>
      </w:r>
      <w:bookmarkStart w:id="0" w:name="_GoBack"/>
      <w:r>
        <w:rPr>
          <w:rFonts w:hint="eastAsia" w:ascii="仿宋_GB2312" w:hAnsi="宋体" w:eastAsia="仿宋_GB2312" w:cs="宋体"/>
          <w:b/>
          <w:bCs/>
          <w:color w:val="000000" w:themeColor="text1"/>
          <w:spacing w:val="8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四是</w:t>
      </w:r>
      <w:r>
        <w:rPr>
          <w:rFonts w:hint="eastAsia" w:ascii="仿宋_GB2312" w:hAnsi="宋体" w:eastAsia="仿宋_GB2312" w:cs="宋体"/>
          <w:color w:val="000000" w:themeColor="text1"/>
          <w:spacing w:val="8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强化重点领域信息公开，及时更新机构职能20条、领导简介12次、招考录用18条，财务公开下设的预算公开、决算公开和其他三类共发布相关信息6次，主动接受群众监督。</w:t>
      </w:r>
      <w:bookmarkEnd w:id="0"/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全年发布信息17264篇，发布征集调查6篇，梳理行政许可办事指南36条，及时转载党中央、国务院重大决策部署等权威信息146条，被市政府门户网站被采用稿件226篇，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" w:eastAsia="zh-CN"/>
        </w:rPr>
        <w:t>召开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新闻发布会12次，切实做到“应公开、尽公开”。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5" w:firstLineChars="200"/>
        <w:jc w:val="both"/>
        <w:textAlignment w:val="auto"/>
        <w:rPr>
          <w:rFonts w:hint="eastAsia" w:ascii="仿宋_GB2312" w:hAnsi="宋体" w:eastAsia="仿宋_GB2312" w:cs="宋体"/>
          <w:b w:val="0"/>
          <w:bCs w:val="0"/>
          <w:color w:val="auto"/>
          <w:spacing w:val="8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宋体" w:eastAsia="仿宋_GB2312" w:cs="宋体"/>
          <w:b/>
          <w:bCs/>
          <w:color w:val="auto"/>
          <w:spacing w:val="8"/>
          <w:kern w:val="0"/>
          <w:sz w:val="32"/>
          <w:szCs w:val="32"/>
          <w:highlight w:val="none"/>
          <w:lang w:val="en-US" w:eastAsia="zh-CN"/>
        </w:rPr>
        <w:t>（三）稳步推进依申请公开。一是</w:t>
      </w:r>
      <w:r>
        <w:rPr>
          <w:rFonts w:hint="eastAsia" w:ascii="仿宋_GB2312" w:hAnsi="宋体" w:eastAsia="仿宋_GB2312" w:cs="宋体"/>
          <w:b w:val="0"/>
          <w:bCs w:val="0"/>
          <w:color w:val="auto"/>
          <w:spacing w:val="8"/>
          <w:kern w:val="0"/>
          <w:sz w:val="32"/>
          <w:szCs w:val="32"/>
          <w:highlight w:val="none"/>
          <w:lang w:val="en-US" w:eastAsia="zh-CN"/>
        </w:rPr>
        <w:t>严格按照办理流程要求，做好依申请公开工作，共收到信息公开1720件，其中自然人1694件、法律服务机构12件、其他8件；上年结转政府信息公开申请数量6件（均为自然人），结转下年度继续办理数量15件。</w:t>
      </w:r>
      <w:r>
        <w:rPr>
          <w:rFonts w:hint="eastAsia" w:ascii="仿宋_GB2312" w:hAnsi="宋体" w:eastAsia="仿宋_GB2312" w:cs="宋体"/>
          <w:b/>
          <w:bCs/>
          <w:color w:val="auto"/>
          <w:spacing w:val="8"/>
          <w:kern w:val="0"/>
          <w:sz w:val="32"/>
          <w:szCs w:val="32"/>
          <w:highlight w:val="none"/>
          <w:lang w:val="en-US" w:eastAsia="zh-CN"/>
        </w:rPr>
        <w:t>二是</w:t>
      </w:r>
      <w:r>
        <w:rPr>
          <w:rFonts w:hint="eastAsia" w:ascii="仿宋_GB2312" w:hAnsi="宋体" w:eastAsia="仿宋_GB2312" w:cs="宋体"/>
          <w:b w:val="0"/>
          <w:bCs w:val="0"/>
          <w:color w:val="auto"/>
          <w:spacing w:val="8"/>
          <w:kern w:val="0"/>
          <w:sz w:val="32"/>
          <w:szCs w:val="32"/>
          <w:highlight w:val="none"/>
          <w:lang w:val="en-US" w:eastAsia="zh-CN"/>
        </w:rPr>
        <w:t>深入践行法治为民宗旨，明确受理方式等要求，依法受理和处理政府信息公开申请，确保申请人的合法权益得到保障。</w:t>
      </w:r>
      <w:r>
        <w:rPr>
          <w:rFonts w:hint="eastAsia" w:ascii="仿宋_GB2312" w:hAnsi="宋体" w:eastAsia="仿宋_GB2312" w:cs="宋体"/>
          <w:b/>
          <w:bCs/>
          <w:color w:val="auto"/>
          <w:spacing w:val="8"/>
          <w:kern w:val="0"/>
          <w:sz w:val="32"/>
          <w:szCs w:val="32"/>
          <w:highlight w:val="none"/>
          <w:lang w:val="en-US" w:eastAsia="zh-CN"/>
        </w:rPr>
        <w:t>三是</w:t>
      </w:r>
      <w:r>
        <w:rPr>
          <w:rFonts w:hint="eastAsia" w:ascii="仿宋_GB2312" w:hAnsi="宋体" w:eastAsia="仿宋_GB2312" w:cs="宋体"/>
          <w:b w:val="0"/>
          <w:bCs w:val="0"/>
          <w:color w:val="auto"/>
          <w:spacing w:val="8"/>
          <w:kern w:val="0"/>
          <w:sz w:val="32"/>
          <w:szCs w:val="32"/>
          <w:highlight w:val="none"/>
          <w:lang w:val="en-US" w:eastAsia="zh-CN"/>
        </w:rPr>
        <w:t>充分发挥政府信息公开联系电话的服务作用，解答群众咨询。</w:t>
      </w:r>
      <w:r>
        <w:rPr>
          <w:rFonts w:hint="eastAsia" w:ascii="仿宋_GB2312" w:hAnsi="宋体" w:eastAsia="仿宋_GB2312" w:cs="宋体"/>
          <w:b/>
          <w:bCs/>
          <w:color w:val="auto"/>
          <w:spacing w:val="8"/>
          <w:kern w:val="0"/>
          <w:sz w:val="32"/>
          <w:szCs w:val="32"/>
          <w:highlight w:val="none"/>
          <w:lang w:val="en-US" w:eastAsia="zh-CN"/>
        </w:rPr>
        <w:t>四是</w:t>
      </w:r>
      <w:r>
        <w:rPr>
          <w:rFonts w:hint="eastAsia" w:ascii="仿宋_GB2312" w:hAnsi="宋体" w:eastAsia="仿宋_GB2312" w:cs="宋体"/>
          <w:b w:val="0"/>
          <w:bCs w:val="0"/>
          <w:color w:val="auto"/>
          <w:spacing w:val="8"/>
          <w:kern w:val="0"/>
          <w:sz w:val="32"/>
          <w:szCs w:val="32"/>
          <w:highlight w:val="none"/>
          <w:lang w:val="en-US" w:eastAsia="zh-CN"/>
        </w:rPr>
        <w:t>回应群众关切，答复领导信箱留言1015条。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5" w:firstLineChars="200"/>
        <w:jc w:val="both"/>
        <w:textAlignment w:val="auto"/>
        <w:rPr>
          <w:rFonts w:hint="default" w:ascii="仿宋_GB2312" w:hAnsi="宋体" w:eastAsia="仿宋_GB2312" w:cs="宋体"/>
          <w:b w:val="0"/>
          <w:bCs w:val="0"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  <w:lang w:val="en-US" w:eastAsia="zh-CN"/>
        </w:rPr>
        <w:t>（四）切实加强政府信息管理。一是</w:t>
      </w:r>
      <w:r>
        <w:rPr>
          <w:rFonts w:hint="eastAsia" w:ascii="仿宋_GB2312" w:hAnsi="宋体" w:eastAsia="仿宋_GB2312" w:cs="宋体"/>
          <w:b w:val="0"/>
          <w:bCs w:val="0"/>
          <w:spacing w:val="8"/>
          <w:kern w:val="0"/>
          <w:sz w:val="32"/>
          <w:szCs w:val="32"/>
          <w:lang w:val="en-US" w:eastAsia="zh-CN"/>
        </w:rPr>
        <w:t>根据上级下发的政务公开评估报告，落实好整改反馈，进一步完善政府信息公开工作。</w:t>
      </w:r>
      <w:r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  <w:lang w:val="en-US" w:eastAsia="zh-CN"/>
        </w:rPr>
        <w:t>二是</w:t>
      </w:r>
      <w:r>
        <w:rPr>
          <w:rFonts w:hint="eastAsia" w:ascii="仿宋_GB2312" w:hAnsi="宋体" w:eastAsia="仿宋_GB2312" w:cs="宋体"/>
          <w:b w:val="0"/>
          <w:bCs w:val="0"/>
          <w:spacing w:val="8"/>
          <w:kern w:val="0"/>
          <w:sz w:val="32"/>
          <w:szCs w:val="32"/>
          <w:lang w:val="en-US" w:eastAsia="zh-CN"/>
        </w:rPr>
        <w:t>确保信息发布时效性，按照要求及时增加、更新信息内容。</w:t>
      </w:r>
      <w:r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  <w:lang w:val="en-US" w:eastAsia="zh-CN"/>
        </w:rPr>
        <w:t>三是</w:t>
      </w:r>
      <w:r>
        <w:rPr>
          <w:rFonts w:hint="eastAsia" w:ascii="仿宋_GB2312" w:hAnsi="宋体" w:eastAsia="仿宋_GB2312" w:cs="宋体"/>
          <w:b w:val="0"/>
          <w:bCs w:val="0"/>
          <w:spacing w:val="8"/>
          <w:kern w:val="0"/>
          <w:sz w:val="32"/>
          <w:szCs w:val="32"/>
          <w:lang w:val="en-US" w:eastAsia="zh-CN"/>
        </w:rPr>
        <w:t>严格控制信息准确性，规范信息公开的内容、审核流程，遵循“先审查后公开”及“授权审查”的审查机制，不定期对发布的信息进行检查，确保政务公开规范有序进行。</w:t>
      </w:r>
    </w:p>
    <w:p>
      <w:pPr>
        <w:tabs>
          <w:tab w:val="left" w:pos="2562"/>
        </w:tabs>
        <w:ind w:firstLine="675" w:firstLineChars="200"/>
        <w:jc w:val="left"/>
        <w:rPr>
          <w:rFonts w:hint="default" w:ascii="仿宋_GB2312" w:hAnsi="宋体" w:eastAsia="仿宋_GB2312" w:cs="宋体"/>
          <w:b w:val="0"/>
          <w:bCs w:val="0"/>
          <w:color w:val="auto"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b/>
          <w:bCs/>
          <w:color w:val="auto"/>
          <w:spacing w:val="8"/>
          <w:kern w:val="0"/>
          <w:sz w:val="32"/>
          <w:szCs w:val="32"/>
          <w:lang w:val="en-US" w:eastAsia="zh-CN"/>
        </w:rPr>
        <w:t>（五）深入推进公开平台建设。一是</w:t>
      </w:r>
      <w:r>
        <w:rPr>
          <w:rFonts w:hint="eastAsia" w:ascii="仿宋_GB2312" w:hAnsi="宋体" w:eastAsia="仿宋_GB2312" w:cs="宋体"/>
          <w:b w:val="0"/>
          <w:bCs w:val="0"/>
          <w:color w:val="auto"/>
          <w:spacing w:val="8"/>
          <w:kern w:val="0"/>
          <w:sz w:val="32"/>
          <w:szCs w:val="32"/>
          <w:lang w:val="en-US" w:eastAsia="zh-CN"/>
        </w:rPr>
        <w:t>按照优化政策公开栏目做好政策集中发布的相关工作要求，做好网站梳理工作，更新“优化营商环境”“我为政府工作报告提建议”网站专题，发布京司视频124篇，在线访谈4次。</w:t>
      </w:r>
      <w:r>
        <w:rPr>
          <w:rFonts w:hint="eastAsia" w:ascii="仿宋_GB2312" w:hAnsi="宋体" w:eastAsia="仿宋_GB2312" w:cs="宋体"/>
          <w:b/>
          <w:bCs/>
          <w:color w:val="auto"/>
          <w:spacing w:val="8"/>
          <w:kern w:val="0"/>
          <w:sz w:val="32"/>
          <w:szCs w:val="32"/>
          <w:lang w:val="en-US" w:eastAsia="zh-CN"/>
        </w:rPr>
        <w:t>二是</w:t>
      </w:r>
      <w:r>
        <w:rPr>
          <w:rFonts w:hint="eastAsia" w:ascii="仿宋_GB2312" w:hAnsi="宋体" w:eastAsia="仿宋_GB2312" w:cs="宋体"/>
          <w:b w:val="0"/>
          <w:bCs w:val="0"/>
          <w:color w:val="auto"/>
          <w:spacing w:val="8"/>
          <w:kern w:val="0"/>
          <w:sz w:val="32"/>
          <w:szCs w:val="32"/>
          <w:lang w:val="en-US" w:eastAsia="zh-CN"/>
        </w:rPr>
        <w:t>积极开展自查整改，修复网站页面历史遗留的错断链、错敏字6863条，取得了网站四季度考评全部满分的好成绩。</w:t>
      </w:r>
      <w:r>
        <w:rPr>
          <w:rFonts w:hint="eastAsia" w:ascii="仿宋_GB2312" w:hAnsi="宋体" w:eastAsia="仿宋_GB2312" w:cs="宋体"/>
          <w:b/>
          <w:bCs/>
          <w:color w:val="auto"/>
          <w:spacing w:val="8"/>
          <w:kern w:val="0"/>
          <w:sz w:val="32"/>
          <w:szCs w:val="32"/>
          <w:lang w:val="en-US" w:eastAsia="zh-CN"/>
        </w:rPr>
        <w:t>三是</w:t>
      </w:r>
      <w:r>
        <w:rPr>
          <w:rFonts w:hint="eastAsia" w:ascii="仿宋_GB2312" w:hAnsi="宋体" w:eastAsia="仿宋_GB2312" w:cs="宋体"/>
          <w:b w:val="0"/>
          <w:bCs w:val="0"/>
          <w:color w:val="auto"/>
          <w:spacing w:val="8"/>
          <w:kern w:val="0"/>
          <w:sz w:val="32"/>
          <w:szCs w:val="32"/>
          <w:lang w:val="en-US" w:eastAsia="zh-CN"/>
        </w:rPr>
        <w:t>主动创新发展，增加语音搜索功能，为用户提供更加便携、高效的使用体验。</w:t>
      </w:r>
      <w:r>
        <w:rPr>
          <w:rFonts w:hint="eastAsia" w:ascii="仿宋_GB2312" w:hAnsi="宋体" w:eastAsia="仿宋_GB2312" w:cs="宋体"/>
          <w:b/>
          <w:bCs/>
          <w:color w:val="auto"/>
          <w:spacing w:val="8"/>
          <w:kern w:val="0"/>
          <w:sz w:val="32"/>
          <w:szCs w:val="32"/>
          <w:lang w:val="en-US" w:eastAsia="zh-CN"/>
        </w:rPr>
        <w:t>四是</w:t>
      </w:r>
      <w:r>
        <w:rPr>
          <w:rFonts w:hint="eastAsia" w:ascii="仿宋_GB2312" w:hAnsi="宋体" w:eastAsia="仿宋_GB2312" w:cs="宋体"/>
          <w:b w:val="0"/>
          <w:bCs w:val="0"/>
          <w:color w:val="auto"/>
          <w:spacing w:val="8"/>
          <w:kern w:val="0"/>
          <w:sz w:val="32"/>
          <w:szCs w:val="32"/>
          <w:lang w:val="en-US" w:eastAsia="zh-CN"/>
        </w:rPr>
        <w:t>充分利用好新媒体矩阵，升级优化政务新媒体平台，“京司观澜”微信公众号全年推文776期、文章1130篇，总阅读量425.9万人次；“京司观澜”视频号发布视频82条，总阅读量20.1万人次；“北京司法”新浪微博全年发布6174条，总阅读量5746.5万，转评赞30827人次；“北京司法”头条号全年发文1545条，总阅读量10.3万人次。</w:t>
      </w:r>
    </w:p>
    <w:p>
      <w:pPr>
        <w:tabs>
          <w:tab w:val="left" w:pos="2562"/>
        </w:tabs>
        <w:ind w:firstLine="675" w:firstLineChars="200"/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  <w:lang w:val="en-US" w:eastAsia="zh-CN"/>
        </w:rPr>
        <w:t>（六）组织开展教育培训。</w:t>
      </w:r>
      <w:r>
        <w:rPr>
          <w:rFonts w:hint="eastAsia" w:ascii="仿宋_GB2312" w:hAnsi="宋体" w:eastAsia="仿宋_GB2312" w:cs="宋体"/>
          <w:b w:val="0"/>
          <w:bCs w:val="0"/>
          <w:spacing w:val="8"/>
          <w:kern w:val="0"/>
          <w:sz w:val="32"/>
          <w:szCs w:val="32"/>
          <w:lang w:val="en-US" w:eastAsia="zh-CN"/>
        </w:rPr>
        <w:t>举办首都司法行政系统新闻发言人培训班，将政府信息公开工作作为重点内容，通过集中授课、业务研讨、线上交流等方式，提升队伍专业业务技能，同时注重实用性和前瞻性相结合，在实践中培养工作人员的创新意识和融合能力。</w:t>
      </w:r>
    </w:p>
    <w:p>
      <w:pPr>
        <w:tabs>
          <w:tab w:val="left" w:pos="2562"/>
        </w:tabs>
        <w:ind w:firstLine="675" w:firstLineChars="200"/>
        <w:rPr>
          <w:rFonts w:hint="default" w:ascii="仿宋_GB2312" w:hAnsi="宋体" w:eastAsia="仿宋_GB2312" w:cs="宋体"/>
          <w:b/>
          <w:bCs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  <w:lang w:val="en-US" w:eastAsia="zh-CN"/>
        </w:rPr>
        <w:t>（七）有效</w:t>
      </w:r>
      <w:r>
        <w:rPr>
          <w:rFonts w:hint="default" w:ascii="仿宋_GB2312" w:hAnsi="宋体" w:eastAsia="仿宋_GB2312" w:cs="宋体"/>
          <w:b/>
          <w:bCs/>
          <w:spacing w:val="8"/>
          <w:kern w:val="0"/>
          <w:sz w:val="32"/>
          <w:szCs w:val="32"/>
          <w:lang w:val="en-US" w:eastAsia="zh-CN"/>
        </w:rPr>
        <w:t>加强监督保障。</w:t>
      </w:r>
      <w:r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  <w:lang w:val="en-US" w:eastAsia="zh-CN"/>
        </w:rPr>
        <w:t>一是</w:t>
      </w:r>
      <w:r>
        <w:rPr>
          <w:rFonts w:hint="default" w:ascii="仿宋_GB2312" w:hAnsi="宋体" w:eastAsia="仿宋_GB2312" w:cs="宋体"/>
          <w:b w:val="0"/>
          <w:bCs w:val="0"/>
          <w:spacing w:val="8"/>
          <w:kern w:val="0"/>
          <w:sz w:val="32"/>
          <w:szCs w:val="32"/>
          <w:lang w:val="en-US" w:eastAsia="zh-CN"/>
        </w:rPr>
        <w:t>加强</w:t>
      </w:r>
      <w:r>
        <w:rPr>
          <w:rFonts w:hint="eastAsia" w:ascii="仿宋_GB2312" w:hAnsi="宋体" w:eastAsia="仿宋_GB2312" w:cs="宋体"/>
          <w:b w:val="0"/>
          <w:bCs w:val="0"/>
          <w:spacing w:val="8"/>
          <w:kern w:val="0"/>
          <w:sz w:val="32"/>
          <w:szCs w:val="32"/>
          <w:lang w:val="en-US" w:eastAsia="zh-CN"/>
        </w:rPr>
        <w:t>日常监管和考核评估，建立齐抓共管的工作格局，全面提升政府信息公开工作水平。</w:t>
      </w:r>
      <w:r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  <w:lang w:val="en-US" w:eastAsia="zh-CN"/>
        </w:rPr>
        <w:t>二是</w:t>
      </w:r>
      <w:r>
        <w:rPr>
          <w:rFonts w:hint="eastAsia" w:ascii="仿宋_GB2312" w:hAnsi="宋体" w:eastAsia="仿宋_GB2312" w:cs="宋体"/>
          <w:b w:val="0"/>
          <w:bCs w:val="0"/>
          <w:spacing w:val="8"/>
          <w:kern w:val="0"/>
          <w:sz w:val="32"/>
          <w:szCs w:val="32"/>
          <w:lang w:val="en-US" w:eastAsia="zh-CN"/>
        </w:rPr>
        <w:t>充分发挥局党委组织领导、办公室汇总协调、责任部门落实有效的联动机制。</w:t>
      </w:r>
      <w:r>
        <w:rPr>
          <w:rFonts w:hint="eastAsia" w:ascii="仿宋_GB2312" w:hAnsi="宋体" w:eastAsia="仿宋_GB2312" w:cs="宋体"/>
          <w:b/>
          <w:bCs/>
          <w:spacing w:val="8"/>
          <w:kern w:val="0"/>
          <w:sz w:val="32"/>
          <w:szCs w:val="32"/>
          <w:lang w:val="en-US" w:eastAsia="zh-CN"/>
        </w:rPr>
        <w:t>三是</w:t>
      </w:r>
      <w:r>
        <w:rPr>
          <w:rFonts w:hint="default" w:ascii="仿宋_GB2312" w:hAnsi="宋体" w:eastAsia="仿宋_GB2312" w:cs="宋体"/>
          <w:b w:val="0"/>
          <w:bCs w:val="0"/>
          <w:spacing w:val="8"/>
          <w:kern w:val="0"/>
          <w:sz w:val="32"/>
          <w:szCs w:val="32"/>
          <w:lang w:val="en-US" w:eastAsia="zh-CN"/>
        </w:rPr>
        <w:t>严格保密审查机制，</w:t>
      </w:r>
      <w:r>
        <w:rPr>
          <w:rFonts w:hint="eastAsia" w:ascii="仿宋_GB2312" w:hAnsi="宋体" w:eastAsia="仿宋_GB2312" w:cs="宋体"/>
          <w:b w:val="0"/>
          <w:bCs w:val="0"/>
          <w:spacing w:val="8"/>
          <w:kern w:val="0"/>
          <w:sz w:val="32"/>
          <w:szCs w:val="32"/>
          <w:lang w:val="en-US" w:eastAsia="zh-CN"/>
        </w:rPr>
        <w:t>经常性开展保密教育培训，增强安全保密意识，全年发布</w:t>
      </w:r>
      <w:r>
        <w:rPr>
          <w:rFonts w:hint="default" w:ascii="仿宋_GB2312" w:hAnsi="宋体" w:eastAsia="仿宋_GB2312" w:cs="宋体"/>
          <w:b w:val="0"/>
          <w:bCs w:val="0"/>
          <w:spacing w:val="8"/>
          <w:kern w:val="0"/>
          <w:sz w:val="32"/>
          <w:szCs w:val="32"/>
          <w:lang w:val="en-US" w:eastAsia="zh-CN"/>
        </w:rPr>
        <w:t>信息内容安全准确，</w:t>
      </w:r>
      <w:r>
        <w:rPr>
          <w:rFonts w:hint="eastAsia" w:ascii="仿宋_GB2312" w:hAnsi="宋体" w:eastAsia="仿宋_GB2312" w:cs="宋体"/>
          <w:b w:val="0"/>
          <w:bCs w:val="0"/>
          <w:spacing w:val="8"/>
          <w:kern w:val="0"/>
          <w:sz w:val="32"/>
          <w:szCs w:val="32"/>
          <w:lang w:val="en-US" w:eastAsia="zh-CN"/>
        </w:rPr>
        <w:t>且</w:t>
      </w:r>
      <w:r>
        <w:rPr>
          <w:rFonts w:hint="default" w:ascii="仿宋_GB2312" w:hAnsi="宋体" w:eastAsia="仿宋_GB2312" w:cs="宋体"/>
          <w:b w:val="0"/>
          <w:bCs w:val="0"/>
          <w:spacing w:val="8"/>
          <w:kern w:val="0"/>
          <w:sz w:val="32"/>
          <w:szCs w:val="32"/>
          <w:lang w:val="en-US" w:eastAsia="zh-CN"/>
        </w:rPr>
        <w:t>年内不存在安全、泄密事故、严重表述错误等问题。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_GB2312" w:hAnsi="宋体" w:eastAsia="仿宋_GB2312" w:cs="宋体"/>
          <w:b w:val="0"/>
          <w:bCs w:val="0"/>
          <w:spacing w:val="8"/>
          <w:kern w:val="0"/>
          <w:sz w:val="32"/>
          <w:szCs w:val="32"/>
          <w:lang w:val="en-US" w:eastAsia="zh-CN" w:bidi="ar-SA"/>
        </w:rPr>
      </w:pPr>
    </w:p>
    <w:p>
      <w:pPr>
        <w:widowControl/>
        <w:spacing w:line="560" w:lineRule="exact"/>
        <w:ind w:firstLine="675"/>
        <w:jc w:val="left"/>
        <w:rPr>
          <w:rFonts w:hint="eastAsia" w:ascii="黑体" w:hAnsi="宋体" w:eastAsia="黑体" w:cs="黑体"/>
          <w:sz w:val="32"/>
          <w:szCs w:val="32"/>
        </w:rPr>
      </w:pPr>
      <w:r>
        <w:rPr>
          <w:rFonts w:hint="eastAsia" w:ascii="黑体" w:hAnsi="宋体" w:eastAsia="黑体" w:cs="宋体"/>
          <w:spacing w:val="8"/>
          <w:kern w:val="0"/>
          <w:sz w:val="32"/>
          <w:szCs w:val="32"/>
          <w:lang w:eastAsia="zh-CN" w:bidi="ar"/>
        </w:rPr>
        <w:t>二</w:t>
      </w:r>
      <w:r>
        <w:rPr>
          <w:rFonts w:hint="eastAsia" w:ascii="黑体" w:hAnsi="宋体" w:eastAsia="黑体" w:cs="宋体"/>
          <w:spacing w:val="8"/>
          <w:kern w:val="0"/>
          <w:sz w:val="32"/>
          <w:szCs w:val="32"/>
          <w:lang w:val="en-US" w:eastAsia="zh-CN" w:bidi="ar"/>
        </w:rPr>
        <w:t>、</w:t>
      </w:r>
      <w:r>
        <w:rPr>
          <w:rFonts w:hint="eastAsia" w:ascii="黑体" w:hAnsi="宋体" w:eastAsia="黑体" w:cs="黑体"/>
          <w:sz w:val="32"/>
          <w:szCs w:val="32"/>
          <w:lang w:bidi="ar"/>
        </w:rPr>
        <w:t>主动公开政府信息情况</w:t>
      </w:r>
    </w:p>
    <w:tbl>
      <w:tblPr>
        <w:tblStyle w:val="7"/>
        <w:tblW w:w="9740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第二十条第（一）项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本年制发件数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本年废止件数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现行有效件数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3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59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color w:val="FF0000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第二十条第（五）项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本年处理决定数量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16072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第二十条第（六）项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本年处理决定数量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22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eastAsia="宋体"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第二十条第（八）项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本年收费金额（单位：万元）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default" w:ascii="宋体" w:hAnsi="Times New Roman" w:eastAsia="宋体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Times New Roman" w:cs="宋体"/>
                <w:color w:val="auto"/>
                <w:sz w:val="20"/>
                <w:szCs w:val="20"/>
                <w:lang w:val="en-US" w:eastAsia="zh-CN"/>
              </w:rPr>
              <w:t>853.8210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rPr>
          <w:rFonts w:hint="eastAsia" w:ascii="黑体" w:hAnsi="黑体" w:eastAsia="黑体" w:cs="宋体"/>
          <w:color w:val="auto"/>
          <w:spacing w:val="8"/>
          <w:kern w:val="0"/>
          <w:sz w:val="32"/>
          <w:szCs w:val="32"/>
        </w:rPr>
      </w:pPr>
      <w:r>
        <w:rPr>
          <w:rFonts w:hint="eastAsia" w:ascii="黑体" w:hAnsi="黑体" w:eastAsia="黑体" w:cs="宋体"/>
          <w:color w:val="auto"/>
          <w:spacing w:val="8"/>
          <w:kern w:val="0"/>
          <w:sz w:val="32"/>
          <w:szCs w:val="32"/>
          <w:lang w:eastAsia="zh-CN"/>
        </w:rPr>
        <w:t>三、</w:t>
      </w:r>
      <w:r>
        <w:rPr>
          <w:rFonts w:hint="eastAsia" w:ascii="黑体" w:hAnsi="黑体" w:eastAsia="黑体" w:cs="宋体"/>
          <w:color w:val="auto"/>
          <w:spacing w:val="8"/>
          <w:kern w:val="0"/>
          <w:sz w:val="32"/>
          <w:szCs w:val="32"/>
        </w:rPr>
        <w:t>收到和处理政府信息公开申请情况</w:t>
      </w:r>
    </w:p>
    <w:tbl>
      <w:tblPr>
        <w:tblStyle w:val="7"/>
        <w:tblW w:w="9748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67"/>
        <w:gridCol w:w="942"/>
        <w:gridCol w:w="3210"/>
        <w:gridCol w:w="697"/>
        <w:gridCol w:w="687"/>
        <w:gridCol w:w="687"/>
        <w:gridCol w:w="687"/>
        <w:gridCol w:w="687"/>
        <w:gridCol w:w="687"/>
        <w:gridCol w:w="697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19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ascii="楷体" w:hAnsi="楷体" w:eastAsia="楷体" w:cs="楷体"/>
                <w:color w:val="auto"/>
                <w:kern w:val="0"/>
                <w:sz w:val="20"/>
                <w:szCs w:val="20"/>
                <w:lang w:val="en-US" w:eastAsia="zh-CN" w:bidi="ar"/>
              </w:rPr>
              <w:t>（本列数据的勾稽关系为：第一项加第二项之和，等于第三项加第四项之和）</w:t>
            </w:r>
          </w:p>
        </w:tc>
        <w:tc>
          <w:tcPr>
            <w:tcW w:w="4829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申请人情况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19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697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自然人</w:t>
            </w:r>
          </w:p>
        </w:tc>
        <w:tc>
          <w:tcPr>
            <w:tcW w:w="3435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法人或其他组织</w:t>
            </w:r>
          </w:p>
        </w:tc>
        <w:tc>
          <w:tcPr>
            <w:tcW w:w="697" w:type="dxa"/>
            <w:vMerge w:val="restart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19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697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商业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企业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科研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机构</w:t>
            </w:r>
          </w:p>
        </w:tc>
        <w:tc>
          <w:tcPr>
            <w:tcW w:w="68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社会公益组织</w:t>
            </w:r>
          </w:p>
        </w:tc>
        <w:tc>
          <w:tcPr>
            <w:tcW w:w="68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法律服务机构</w:t>
            </w:r>
          </w:p>
        </w:tc>
        <w:tc>
          <w:tcPr>
            <w:tcW w:w="68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</w:tc>
        <w:tc>
          <w:tcPr>
            <w:tcW w:w="697" w:type="dxa"/>
            <w:vMerge w:val="continue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9BC2E6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1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一、本年新收政府信息公开申请数量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1694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12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8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1714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1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二、上年结转政府信息公开申请数量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6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6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restart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三、本年度办理结果</w:t>
            </w:r>
          </w:p>
        </w:tc>
        <w:tc>
          <w:tcPr>
            <w:tcW w:w="415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（一）予以公开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30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2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69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33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415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（二）部分公开</w:t>
            </w:r>
            <w:r>
              <w:rPr>
                <w:rFonts w:hint="default" w:ascii="楷体" w:hAnsi="楷体" w:eastAsia="楷体" w:cs="楷体"/>
                <w:color w:val="auto"/>
                <w:kern w:val="0"/>
                <w:sz w:val="20"/>
                <w:szCs w:val="20"/>
                <w:lang w:val="en-US" w:eastAsia="zh-CN" w:bidi="ar"/>
              </w:rPr>
              <w:t>（区分处理的，只计这一情形，不计其他情形）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15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16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（三）不予公开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1.属于国家秘密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2.其他法律行政法规禁止公开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3.危及“三安全一稳定”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4.保护第三方合法权益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5.属于三类内部事务信息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8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8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6.属于四类过程性信息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7.属于行政执法案卷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8.属于行政查询事项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（四）无法提供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1.本机关不掌握相关政府信息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77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3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81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2.没有现成信息需要另行制作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4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3.补正后申请内容仍不明确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（五）不予处理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1.信访举报投诉类申请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1442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1442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2.重复申请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3.要求提供公开出版物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4.无正当理由大量反复申请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5.要求行政机关确认或重新出具已获取信息</w:t>
            </w:r>
          </w:p>
        </w:tc>
        <w:tc>
          <w:tcPr>
            <w:tcW w:w="697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restart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（六）其他处理</w:t>
            </w: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1.申请人无正当理由逾期不补正、行政机关不再处理其政府信息公开申请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8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8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3.其他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101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7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3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111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color w:val="auto"/>
                <w:sz w:val="24"/>
                <w:szCs w:val="24"/>
              </w:rPr>
            </w:pPr>
          </w:p>
        </w:tc>
        <w:tc>
          <w:tcPr>
            <w:tcW w:w="415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（七）总计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1687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10</w:t>
            </w:r>
          </w:p>
        </w:tc>
        <w:tc>
          <w:tcPr>
            <w:tcW w:w="68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8</w:t>
            </w:r>
          </w:p>
        </w:tc>
        <w:tc>
          <w:tcPr>
            <w:tcW w:w="69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1705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1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color w:val="auto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四、结转下年度继续办理</w:t>
            </w:r>
          </w:p>
        </w:tc>
        <w:tc>
          <w:tcPr>
            <w:tcW w:w="697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687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687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687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687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687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697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15</w:t>
            </w:r>
          </w:p>
        </w:tc>
      </w:tr>
    </w:tbl>
    <w:p>
      <w:pPr>
        <w:spacing w:line="560" w:lineRule="exact"/>
        <w:rPr>
          <w:rFonts w:hint="eastAsia" w:ascii="黑体" w:hAnsi="宋体" w:eastAsia="黑体" w:cs="黑体"/>
          <w:color w:val="auto"/>
          <w:sz w:val="32"/>
          <w:szCs w:val="32"/>
          <w:lang w:eastAsia="zh-CN" w:bidi="ar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color w:val="auto"/>
        </w:rPr>
      </w:pPr>
      <w:r>
        <w:rPr>
          <w:rFonts w:hint="eastAsia" w:ascii="黑体" w:hAnsi="宋体" w:eastAsia="黑体" w:cs="黑体"/>
          <w:color w:val="auto"/>
          <w:sz w:val="32"/>
          <w:szCs w:val="32"/>
          <w:lang w:eastAsia="zh-CN" w:bidi="ar"/>
        </w:rPr>
        <w:t>四、</w:t>
      </w:r>
      <w:r>
        <w:rPr>
          <w:rFonts w:hint="eastAsia" w:ascii="黑体" w:hAnsi="宋体" w:eastAsia="黑体" w:cs="黑体"/>
          <w:color w:val="auto"/>
          <w:sz w:val="32"/>
          <w:szCs w:val="32"/>
          <w:lang w:bidi="ar"/>
        </w:rPr>
        <w:t>政府信息公开行政复议、行政诉讼情况</w:t>
      </w:r>
    </w:p>
    <w:tbl>
      <w:tblPr>
        <w:tblStyle w:val="7"/>
        <w:tblW w:w="982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9"/>
        <w:gridCol w:w="627"/>
        <w:gridCol w:w="648"/>
        <w:gridCol w:w="643"/>
        <w:gridCol w:w="720"/>
        <w:gridCol w:w="644"/>
        <w:gridCol w:w="644"/>
        <w:gridCol w:w="645"/>
        <w:gridCol w:w="645"/>
        <w:gridCol w:w="645"/>
        <w:gridCol w:w="646"/>
        <w:gridCol w:w="646"/>
        <w:gridCol w:w="646"/>
        <w:gridCol w:w="646"/>
        <w:gridCol w:w="64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  <w:jc w:val="center"/>
        </w:trPr>
        <w:tc>
          <w:tcPr>
            <w:tcW w:w="3367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行政复议</w:t>
            </w:r>
          </w:p>
        </w:tc>
        <w:tc>
          <w:tcPr>
            <w:tcW w:w="6453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行政诉讼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  <w:jc w:val="center"/>
        </w:trPr>
        <w:tc>
          <w:tcPr>
            <w:tcW w:w="72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结果维持</w:t>
            </w:r>
          </w:p>
        </w:tc>
        <w:tc>
          <w:tcPr>
            <w:tcW w:w="62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48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43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72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总计</w:t>
            </w:r>
          </w:p>
        </w:tc>
        <w:tc>
          <w:tcPr>
            <w:tcW w:w="3223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未经复议直接起诉</w:t>
            </w:r>
          </w:p>
        </w:tc>
        <w:tc>
          <w:tcPr>
            <w:tcW w:w="323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DDEBF7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复议后起诉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  <w:jc w:val="center"/>
        </w:trPr>
        <w:tc>
          <w:tcPr>
            <w:tcW w:w="72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62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64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64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64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维持</w:t>
            </w:r>
          </w:p>
        </w:tc>
        <w:tc>
          <w:tcPr>
            <w:tcW w:w="64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总计</w:t>
            </w:r>
          </w:p>
        </w:tc>
        <w:tc>
          <w:tcPr>
            <w:tcW w:w="64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维持</w:t>
            </w:r>
          </w:p>
        </w:tc>
        <w:tc>
          <w:tcPr>
            <w:tcW w:w="64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4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4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4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color w:val="auto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bidi="ar"/>
              </w:rPr>
              <w:t>总计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  <w:jc w:val="center"/>
        </w:trPr>
        <w:tc>
          <w:tcPr>
            <w:tcW w:w="72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color w:val="auto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18350</w:t>
            </w:r>
          </w:p>
        </w:tc>
        <w:tc>
          <w:tcPr>
            <w:tcW w:w="6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5</w:t>
            </w:r>
          </w:p>
        </w:tc>
        <w:tc>
          <w:tcPr>
            <w:tcW w:w="64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37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683</w:t>
            </w:r>
          </w:p>
        </w:tc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19075</w:t>
            </w:r>
          </w:p>
        </w:tc>
        <w:tc>
          <w:tcPr>
            <w:tcW w:w="64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3</w:t>
            </w:r>
          </w:p>
        </w:tc>
        <w:tc>
          <w:tcPr>
            <w:tcW w:w="64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64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lang w:val="en-US" w:eastAsia="zh-CN"/>
              </w:rPr>
              <w:t>4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textAlignment w:val="auto"/>
        <w:rPr>
          <w:rFonts w:hint="default" w:ascii="仿宋_GB2312" w:hAnsi="宋体" w:eastAsia="仿宋_GB2312" w:cs="宋体"/>
          <w:b/>
          <w:bCs/>
          <w:spacing w:val="8"/>
          <w:kern w:val="0"/>
          <w:sz w:val="32"/>
          <w:szCs w:val="32"/>
          <w:lang w:val="en-US" w:eastAsia="zh-CN" w:bidi="ar-SA"/>
        </w:rPr>
      </w:pPr>
      <w:r>
        <w:rPr>
          <w:rFonts w:hint="default" w:ascii="黑体" w:hAnsi="黑体" w:eastAsia="黑体" w:cs="宋体"/>
          <w:color w:val="auto"/>
          <w:spacing w:val="8"/>
          <w:kern w:val="0"/>
          <w:sz w:val="32"/>
          <w:szCs w:val="32"/>
          <w:lang w:val="en-US" w:eastAsia="zh-CN" w:bidi="ar-SA"/>
        </w:rPr>
        <w:t>五、存在的主要问题及改进情况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</w:pPr>
      <w:r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2024年，我局紧紧围绕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市委、市政府</w:t>
      </w:r>
      <w:r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中心工作，坚持政务公开制度化、规范化，不断加大司法行政信息公开力度，虽取得一定成效，但在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满足社会群众需求、培养专业工作力量上仍需加强</w:t>
      </w:r>
      <w:r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下一步，</w:t>
      </w:r>
      <w:r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我局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将继续</w:t>
      </w:r>
      <w:r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坚持以人民为中心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，</w:t>
      </w:r>
      <w:r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持续深化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政府信息</w:t>
      </w:r>
      <w:r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公开，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建立健全专业人才力量，</w:t>
      </w:r>
      <w:r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以社会关注和群众需求为导向，以更高站位、更宽视野、更严要求推动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政府信息</w:t>
      </w:r>
      <w:r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公开高质量发展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，切实</w:t>
      </w:r>
      <w:r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提升人民群众的法治获得感。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textAlignment w:val="auto"/>
        <w:rPr>
          <w:rFonts w:hint="default" w:ascii="黑体" w:hAnsi="黑体" w:eastAsia="黑体" w:cs="宋体"/>
          <w:color w:val="auto"/>
          <w:spacing w:val="8"/>
          <w:kern w:val="0"/>
          <w:sz w:val="32"/>
          <w:szCs w:val="32"/>
          <w:lang w:val="en-US" w:eastAsia="zh-CN" w:bidi="ar-SA"/>
        </w:rPr>
      </w:pPr>
      <w:r>
        <w:rPr>
          <w:rFonts w:hint="default" w:ascii="黑体" w:hAnsi="黑体" w:eastAsia="黑体" w:cs="宋体"/>
          <w:color w:val="auto"/>
          <w:spacing w:val="8"/>
          <w:kern w:val="0"/>
          <w:sz w:val="32"/>
          <w:szCs w:val="32"/>
          <w:lang w:val="en-US" w:eastAsia="zh-CN" w:bidi="ar-SA"/>
        </w:rPr>
        <w:t>六、其他需要报告的事项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</w:pPr>
      <w:r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我局今年发出的信息收费通知的件数和总金额均为0元；实际收取的总金额为0元。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</w:pPr>
      <w:r>
        <w:rPr>
          <w:rFonts w:hint="default" w:ascii="仿宋_GB2312" w:hAnsi="宋体" w:eastAsia="仿宋_GB2312" w:cs="宋体"/>
          <w:spacing w:val="8"/>
          <w:kern w:val="0"/>
          <w:sz w:val="32"/>
          <w:szCs w:val="32"/>
          <w:lang w:val="en-US" w:eastAsia="zh-CN"/>
        </w:rPr>
        <w:t>我局门户网站（北京市司法行政网）的网址为http://sfj.beijing.gov.cn，如需了解更多政府信息，请登录查询。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80" w:firstLineChars="200"/>
        <w:textAlignment w:val="auto"/>
        <w:rPr>
          <w:rFonts w:hint="default" w:ascii="微软雅黑" w:hAnsi="微软雅黑" w:eastAsia="微软雅黑" w:cs="微软雅黑"/>
          <w:i w:val="0"/>
          <w:iCs w:val="0"/>
          <w:caps w:val="0"/>
          <w:color w:val="404040"/>
          <w:spacing w:val="0"/>
          <w:sz w:val="19"/>
          <w:szCs w:val="19"/>
          <w:shd w:val="clear" w:fill="FFFFFF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UyMTQ3YjQyNThkYzBhMzVkNjI5Y2I2MmNhZTU4N2IifQ=="/>
  </w:docVars>
  <w:rsids>
    <w:rsidRoot w:val="4C7D57F5"/>
    <w:rsid w:val="066E5559"/>
    <w:rsid w:val="0BB634D0"/>
    <w:rsid w:val="3FF7A10F"/>
    <w:rsid w:val="4204072B"/>
    <w:rsid w:val="47E60509"/>
    <w:rsid w:val="49586942"/>
    <w:rsid w:val="4C7D57F5"/>
    <w:rsid w:val="4F3E780B"/>
    <w:rsid w:val="51792CBB"/>
    <w:rsid w:val="52451DAF"/>
    <w:rsid w:val="53BC1460"/>
    <w:rsid w:val="6CFDAF1B"/>
    <w:rsid w:val="702C60D2"/>
    <w:rsid w:val="AEDF9398"/>
    <w:rsid w:val="DB5F4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Emphasis"/>
    <w:basedOn w:val="8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2741</Words>
  <Characters>2911</Characters>
  <Lines>0</Lines>
  <Paragraphs>0</Paragraphs>
  <TotalTime>15</TotalTime>
  <ScaleCrop>false</ScaleCrop>
  <LinksUpToDate>false</LinksUpToDate>
  <CharactersWithSpaces>2911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2025-01-13T10:41:00Z</dcterms:created>
  <dc:creator>盆栽</dc:creator>
  <cp:lastModifiedBy>嗯</cp:lastModifiedBy>
  <cp:lastPrinted>2025-01-15T23:19:00Z</cp:lastPrinted>
  <dcterms:modified xsi:type="dcterms:W3CDTF">2025-01-16T02:48:39Z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  <property fmtid="{D5CDD505-2E9C-101B-9397-08002B2CF9AE}" pid="3" name="ICV">
    <vt:lpwstr>F081973A4BA54CCEBE086DFB982B4C86_11</vt:lpwstr>
  </property>
</Properties>
</file>