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北京市司法局</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年政府信息公开工作年度报告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color w:val="auto"/>
        </w:rPr>
      </w:pP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以下简称《</w:t>
      </w:r>
      <w:r>
        <w:rPr>
          <w:rFonts w:hint="eastAsia" w:ascii="仿宋_GB2312" w:hAnsi="宋体" w:eastAsia="仿宋_GB2312" w:cs="宋体"/>
          <w:spacing w:val="8"/>
          <w:kern w:val="0"/>
          <w:sz w:val="32"/>
          <w:szCs w:val="32"/>
          <w:lang w:val="en-US" w:eastAsia="zh-CN"/>
        </w:rPr>
        <w:t>政府信息公开条例</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第五十条规定，编制本报告。</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黑体" w:hAnsi="黑体" w:eastAsia="黑体" w:cs="宋体"/>
          <w:color w:val="auto"/>
          <w:spacing w:val="8"/>
          <w:kern w:val="0"/>
          <w:sz w:val="32"/>
          <w:szCs w:val="32"/>
        </w:rPr>
      </w:pPr>
      <w:r>
        <w:rPr>
          <w:rFonts w:hint="eastAsia" w:ascii="黑体" w:hAnsi="黑体" w:eastAsia="黑体" w:cs="宋体"/>
          <w:color w:val="auto"/>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val="0"/>
          <w:bCs w:val="0"/>
          <w:spacing w:val="8"/>
          <w:kern w:val="0"/>
          <w:sz w:val="32"/>
          <w:szCs w:val="32"/>
          <w:lang w:val="en" w:eastAsia="zh-CN"/>
        </w:rPr>
        <w:t>202</w:t>
      </w:r>
      <w:r>
        <w:rPr>
          <w:rFonts w:hint="eastAsia" w:ascii="仿宋_GB2312" w:hAnsi="宋体" w:eastAsia="仿宋_GB2312" w:cs="宋体"/>
          <w:b w:val="0"/>
          <w:bCs w:val="0"/>
          <w:spacing w:val="8"/>
          <w:kern w:val="0"/>
          <w:sz w:val="32"/>
          <w:szCs w:val="32"/>
          <w:lang w:val="en-US" w:eastAsia="zh-CN"/>
        </w:rPr>
        <w:t>5</w:t>
      </w:r>
      <w:r>
        <w:rPr>
          <w:rFonts w:hint="eastAsia" w:ascii="仿宋_GB2312" w:hAnsi="宋体" w:eastAsia="仿宋_GB2312" w:cs="宋体"/>
          <w:b w:val="0"/>
          <w:bCs w:val="0"/>
          <w:spacing w:val="8"/>
          <w:kern w:val="0"/>
          <w:sz w:val="32"/>
          <w:szCs w:val="32"/>
          <w:lang w:val="en" w:eastAsia="zh-CN"/>
        </w:rPr>
        <w:t>年，</w:t>
      </w:r>
      <w:r>
        <w:rPr>
          <w:rFonts w:hint="eastAsia" w:ascii="仿宋_GB2312" w:hAnsi="宋体" w:eastAsia="仿宋_GB2312" w:cs="宋体"/>
          <w:b w:val="0"/>
          <w:bCs w:val="0"/>
          <w:spacing w:val="8"/>
          <w:kern w:val="0"/>
          <w:sz w:val="32"/>
          <w:szCs w:val="32"/>
          <w:lang w:val="en-US" w:eastAsia="zh-CN"/>
        </w:rPr>
        <w:t>北京市司法局严格贯彻落实《政府信息公开条例》，紧密</w:t>
      </w:r>
      <w:r>
        <w:rPr>
          <w:rFonts w:hint="eastAsia" w:ascii="仿宋_GB2312" w:hAnsi="宋体" w:eastAsia="仿宋_GB2312" w:cs="宋体"/>
          <w:b w:val="0"/>
          <w:bCs w:val="0"/>
          <w:spacing w:val="8"/>
          <w:kern w:val="0"/>
          <w:sz w:val="32"/>
          <w:szCs w:val="32"/>
          <w:lang w:val="en" w:eastAsia="zh-CN"/>
        </w:rPr>
        <w:t>结合司法行政工作实际</w:t>
      </w:r>
      <w:r>
        <w:rPr>
          <w:rFonts w:hint="eastAsia" w:ascii="仿宋_GB2312" w:hAnsi="宋体" w:eastAsia="仿宋_GB2312" w:cs="宋体"/>
          <w:b w:val="0"/>
          <w:bCs w:val="0"/>
          <w:spacing w:val="8"/>
          <w:kern w:val="0"/>
          <w:sz w:val="32"/>
          <w:szCs w:val="32"/>
          <w:lang w:val="en-US" w:eastAsia="zh-CN"/>
        </w:rPr>
        <w:t>与群众需求</w:t>
      </w:r>
      <w:r>
        <w:rPr>
          <w:rFonts w:hint="eastAsia" w:ascii="仿宋_GB2312" w:hAnsi="宋体" w:eastAsia="仿宋_GB2312" w:cs="宋体"/>
          <w:b w:val="0"/>
          <w:bCs w:val="0"/>
          <w:spacing w:val="8"/>
          <w:kern w:val="0"/>
          <w:sz w:val="32"/>
          <w:szCs w:val="32"/>
          <w:lang w:val="en" w:eastAsia="zh-CN"/>
        </w:rPr>
        <w:t>，</w:t>
      </w:r>
      <w:r>
        <w:rPr>
          <w:rFonts w:hint="eastAsia" w:ascii="仿宋_GB2312" w:hAnsi="宋体" w:eastAsia="仿宋_GB2312" w:cs="宋体"/>
          <w:b w:val="0"/>
          <w:bCs w:val="0"/>
          <w:spacing w:val="8"/>
          <w:kern w:val="0"/>
          <w:sz w:val="32"/>
          <w:szCs w:val="32"/>
          <w:lang w:val="en-US" w:eastAsia="zh-CN"/>
        </w:rPr>
        <w:t>强化</w:t>
      </w:r>
      <w:r>
        <w:rPr>
          <w:rFonts w:hint="eastAsia" w:ascii="仿宋_GB2312" w:hAnsi="宋体" w:eastAsia="仿宋_GB2312" w:cs="宋体"/>
          <w:b w:val="0"/>
          <w:bCs w:val="0"/>
          <w:spacing w:val="8"/>
          <w:kern w:val="0"/>
          <w:sz w:val="32"/>
          <w:szCs w:val="32"/>
          <w:lang w:val="en" w:eastAsia="zh-CN"/>
        </w:rPr>
        <w:t>政府信息公开工作</w:t>
      </w:r>
      <w:r>
        <w:rPr>
          <w:rFonts w:hint="eastAsia" w:ascii="仿宋_GB2312" w:hAnsi="宋体" w:eastAsia="仿宋_GB2312" w:cs="宋体"/>
          <w:b w:val="0"/>
          <w:bCs w:val="0"/>
          <w:spacing w:val="8"/>
          <w:kern w:val="0"/>
          <w:sz w:val="32"/>
          <w:szCs w:val="32"/>
          <w:lang w:val="en-US" w:eastAsia="zh-CN"/>
        </w:rPr>
        <w:t>统筹</w:t>
      </w:r>
      <w:r>
        <w:rPr>
          <w:rFonts w:hint="eastAsia" w:ascii="仿宋_GB2312" w:hAnsi="宋体" w:eastAsia="仿宋_GB2312" w:cs="宋体"/>
          <w:b w:val="0"/>
          <w:bCs w:val="0"/>
          <w:spacing w:val="8"/>
          <w:kern w:val="0"/>
          <w:sz w:val="32"/>
          <w:szCs w:val="32"/>
          <w:lang w:val="en" w:eastAsia="zh-CN"/>
        </w:rPr>
        <w:t>，持续优化公开内容与形式，依托多平台积极回应社会关切，</w:t>
      </w:r>
      <w:r>
        <w:rPr>
          <w:rFonts w:hint="eastAsia" w:ascii="仿宋_GB2312" w:hAnsi="宋体" w:eastAsia="仿宋_GB2312" w:cs="宋体"/>
          <w:b w:val="0"/>
          <w:bCs w:val="0"/>
          <w:spacing w:val="8"/>
          <w:kern w:val="0"/>
          <w:sz w:val="32"/>
          <w:szCs w:val="32"/>
          <w:lang w:val="en-US" w:eastAsia="zh-CN"/>
        </w:rPr>
        <w:t>切实提升了司法行政政务服务能力和社会公众满意度</w:t>
      </w:r>
      <w:r>
        <w:rPr>
          <w:rFonts w:hint="eastAsia" w:ascii="仿宋_GB2312" w:hAnsi="宋体" w:eastAsia="仿宋_GB2312" w:cs="宋体"/>
          <w:b w:val="0"/>
          <w:bCs w:val="0"/>
          <w:spacing w:val="8"/>
          <w:kern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rPr>
      </w:pPr>
      <w:bookmarkStart w:id="0" w:name="OLE_LINK1"/>
      <w:r>
        <w:rPr>
          <w:rFonts w:hint="eastAsia" w:ascii="仿宋_GB2312" w:hAnsi="宋体" w:eastAsia="仿宋_GB2312" w:cs="宋体"/>
          <w:b/>
          <w:bCs/>
          <w:spacing w:val="8"/>
          <w:kern w:val="0"/>
          <w:sz w:val="32"/>
          <w:szCs w:val="32"/>
          <w:lang w:val="en-US" w:eastAsia="zh-CN"/>
        </w:rPr>
        <w:t>（一）有效加强组织领导。一是</w:t>
      </w:r>
      <w:r>
        <w:rPr>
          <w:rFonts w:hint="eastAsia" w:ascii="仿宋_GB2312" w:hAnsi="宋体" w:eastAsia="仿宋_GB2312" w:cs="宋体"/>
          <w:b w:val="0"/>
          <w:bCs w:val="0"/>
          <w:spacing w:val="8"/>
          <w:kern w:val="0"/>
          <w:sz w:val="32"/>
          <w:szCs w:val="32"/>
          <w:lang w:val="en-US" w:eastAsia="zh-CN"/>
        </w:rPr>
        <w:t>细化分工权责。明确牵头处室与责任处室，建立协同联动机制，由牵头处室负责人统筹协调，确认任务清单与完成时限。</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推进工作规范运行。明确任务边界，实施全流程管理，确保各环节顺利衔接。</w:t>
      </w:r>
      <w:r>
        <w:rPr>
          <w:rFonts w:hint="eastAsia" w:ascii="仿宋_GB2312" w:hAnsi="宋体" w:eastAsia="仿宋_GB2312" w:cs="宋体"/>
          <w:b/>
          <w:bCs/>
          <w:spacing w:val="8"/>
          <w:kern w:val="0"/>
          <w:sz w:val="32"/>
          <w:szCs w:val="32"/>
          <w:lang w:val="en" w:eastAsia="zh-CN"/>
        </w:rPr>
        <w:t>三是</w:t>
      </w:r>
      <w:r>
        <w:rPr>
          <w:rFonts w:hint="eastAsia" w:ascii="仿宋_GB2312" w:hAnsi="宋体" w:eastAsia="仿宋_GB2312" w:cs="宋体"/>
          <w:b w:val="0"/>
          <w:bCs w:val="0"/>
          <w:spacing w:val="8"/>
          <w:kern w:val="0"/>
          <w:sz w:val="32"/>
          <w:szCs w:val="32"/>
          <w:lang w:val="en-US" w:eastAsia="zh-CN"/>
        </w:rPr>
        <w:t>提升政治思想</w:t>
      </w:r>
      <w:r>
        <w:rPr>
          <w:rFonts w:hint="eastAsia" w:ascii="仿宋_GB2312" w:hAnsi="宋体" w:eastAsia="仿宋_GB2312" w:cs="宋体"/>
          <w:b w:val="0"/>
          <w:bCs w:val="0"/>
          <w:spacing w:val="8"/>
          <w:kern w:val="0"/>
          <w:sz w:val="32"/>
          <w:szCs w:val="32"/>
          <w:lang w:val="en" w:eastAsia="zh-CN"/>
        </w:rPr>
        <w:t>。组织相关人员加强政策学习，深刻认识政府信息公开工作的重要性，以标准化促落实，切实提升信息报送质量与效率。</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（二）持续深化</w:t>
      </w:r>
      <w:r>
        <w:rPr>
          <w:rFonts w:hint="eastAsia" w:ascii="仿宋_GB2312" w:hAnsi="宋体" w:eastAsia="仿宋_GB2312" w:cs="宋体"/>
          <w:b/>
          <w:bCs/>
          <w:spacing w:val="8"/>
          <w:kern w:val="0"/>
          <w:sz w:val="32"/>
          <w:szCs w:val="32"/>
          <w:lang w:val="en" w:eastAsia="zh-CN"/>
        </w:rPr>
        <w:t>主动公开。</w:t>
      </w: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b w:val="0"/>
          <w:bCs w:val="0"/>
          <w:spacing w:val="8"/>
          <w:kern w:val="0"/>
          <w:sz w:val="32"/>
          <w:szCs w:val="32"/>
          <w:lang w:val="en-US" w:eastAsia="zh-CN"/>
        </w:rPr>
        <w:t>强化政府信息公开。</w:t>
      </w:r>
      <w:r>
        <w:rPr>
          <w:rFonts w:hint="eastAsia" w:ascii="仿宋_GB2312" w:hAnsi="宋体" w:eastAsia="仿宋_GB2312" w:cs="宋体"/>
          <w:b w:val="0"/>
          <w:bCs w:val="0"/>
          <w:spacing w:val="8"/>
          <w:kern w:val="0"/>
          <w:sz w:val="32"/>
          <w:szCs w:val="32"/>
          <w:lang w:val="en" w:eastAsia="zh-CN"/>
        </w:rPr>
        <w:t>严格</w:t>
      </w:r>
      <w:r>
        <w:rPr>
          <w:rFonts w:hint="eastAsia" w:ascii="仿宋_GB2312" w:hAnsi="宋体" w:eastAsia="仿宋_GB2312" w:cs="宋体"/>
          <w:b w:val="0"/>
          <w:bCs w:val="0"/>
          <w:spacing w:val="8"/>
          <w:kern w:val="0"/>
          <w:sz w:val="32"/>
          <w:szCs w:val="32"/>
          <w:lang w:val="en-US" w:eastAsia="zh-CN"/>
        </w:rPr>
        <w:t>公开决策、政策、结果等法定主动公开内容，</w:t>
      </w:r>
      <w:r>
        <w:rPr>
          <w:rFonts w:hint="eastAsia" w:ascii="仿宋_GB2312" w:hAnsi="宋体" w:eastAsia="仿宋_GB2312" w:cs="宋体"/>
          <w:b w:val="0"/>
          <w:bCs w:val="0"/>
          <w:spacing w:val="8"/>
          <w:kern w:val="0"/>
          <w:sz w:val="32"/>
          <w:szCs w:val="32"/>
          <w:lang w:val="en" w:eastAsia="zh-CN"/>
        </w:rPr>
        <w:t>及时更新领导简介2次、招考录用18条、财务</w:t>
      </w:r>
      <w:r>
        <w:rPr>
          <w:rFonts w:hint="eastAsia" w:ascii="仿宋_GB2312" w:hAnsi="宋体" w:eastAsia="仿宋_GB2312" w:cs="宋体"/>
          <w:b w:val="0"/>
          <w:bCs w:val="0"/>
          <w:spacing w:val="8"/>
          <w:kern w:val="0"/>
          <w:sz w:val="32"/>
          <w:szCs w:val="32"/>
          <w:lang w:val="en-US" w:eastAsia="zh-CN"/>
        </w:rPr>
        <w:t>栏目</w:t>
      </w:r>
      <w:r>
        <w:rPr>
          <w:rFonts w:hint="eastAsia" w:ascii="仿宋_GB2312" w:hAnsi="宋体" w:eastAsia="仿宋_GB2312" w:cs="宋体"/>
          <w:b w:val="0"/>
          <w:bCs w:val="0"/>
          <w:spacing w:val="8"/>
          <w:kern w:val="0"/>
          <w:sz w:val="32"/>
          <w:szCs w:val="32"/>
          <w:lang w:val="en" w:eastAsia="zh-CN"/>
        </w:rPr>
        <w:t>信息</w:t>
      </w:r>
      <w:r>
        <w:rPr>
          <w:rFonts w:hint="eastAsia" w:ascii="仿宋_GB2312" w:hAnsi="宋体" w:eastAsia="仿宋_GB2312" w:cs="宋体"/>
          <w:b w:val="0"/>
          <w:bCs w:val="0"/>
          <w:spacing w:val="8"/>
          <w:kern w:val="0"/>
          <w:sz w:val="32"/>
          <w:szCs w:val="32"/>
          <w:lang w:val="en-US" w:eastAsia="zh-CN"/>
        </w:rPr>
        <w:t>7</w:t>
      </w:r>
      <w:r>
        <w:rPr>
          <w:rFonts w:hint="eastAsia" w:ascii="仿宋_GB2312" w:hAnsi="宋体" w:eastAsia="仿宋_GB2312" w:cs="宋体"/>
          <w:b w:val="0"/>
          <w:bCs w:val="0"/>
          <w:spacing w:val="8"/>
          <w:kern w:val="0"/>
          <w:sz w:val="32"/>
          <w:szCs w:val="32"/>
          <w:lang w:val="en" w:eastAsia="zh-CN"/>
        </w:rPr>
        <w:t>次，</w:t>
      </w:r>
      <w:r>
        <w:rPr>
          <w:rFonts w:hint="eastAsia" w:ascii="仿宋_GB2312" w:hAnsi="宋体" w:eastAsia="仿宋_GB2312" w:cs="宋体"/>
          <w:b w:val="0"/>
          <w:bCs w:val="0"/>
          <w:spacing w:val="8"/>
          <w:kern w:val="0"/>
          <w:sz w:val="32"/>
          <w:szCs w:val="32"/>
          <w:lang w:val="en-US" w:eastAsia="zh-CN"/>
        </w:rPr>
        <w:t>自觉</w:t>
      </w:r>
      <w:r>
        <w:rPr>
          <w:rFonts w:hint="eastAsia" w:ascii="仿宋_GB2312" w:hAnsi="宋体" w:eastAsia="仿宋_GB2312" w:cs="宋体"/>
          <w:b w:val="0"/>
          <w:bCs w:val="0"/>
          <w:spacing w:val="8"/>
          <w:kern w:val="0"/>
          <w:sz w:val="32"/>
          <w:szCs w:val="32"/>
          <w:lang w:val="en" w:eastAsia="zh-CN"/>
        </w:rPr>
        <w:t>接受</w:t>
      </w:r>
      <w:r>
        <w:rPr>
          <w:rFonts w:hint="eastAsia" w:ascii="仿宋_GB2312" w:hAnsi="宋体" w:eastAsia="仿宋_GB2312" w:cs="宋体"/>
          <w:b w:val="0"/>
          <w:bCs w:val="0"/>
          <w:spacing w:val="8"/>
          <w:kern w:val="0"/>
          <w:sz w:val="32"/>
          <w:szCs w:val="32"/>
          <w:lang w:val="en-US" w:eastAsia="zh-CN"/>
        </w:rPr>
        <w:t>社会</w:t>
      </w:r>
      <w:r>
        <w:rPr>
          <w:rFonts w:hint="eastAsia" w:ascii="仿宋_GB2312" w:hAnsi="宋体" w:eastAsia="仿宋_GB2312" w:cs="宋体"/>
          <w:b w:val="0"/>
          <w:bCs w:val="0"/>
          <w:spacing w:val="8"/>
          <w:kern w:val="0"/>
          <w:sz w:val="32"/>
          <w:szCs w:val="32"/>
          <w:lang w:val="en" w:eastAsia="zh-CN"/>
        </w:rPr>
        <w:t>监督。</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 w:eastAsia="zh-CN"/>
        </w:rPr>
        <w:t>加强政策</w:t>
      </w:r>
      <w:r>
        <w:rPr>
          <w:rFonts w:hint="eastAsia" w:ascii="仿宋_GB2312" w:hAnsi="宋体" w:eastAsia="仿宋_GB2312" w:cs="宋体"/>
          <w:b w:val="0"/>
          <w:bCs w:val="0"/>
          <w:spacing w:val="8"/>
          <w:kern w:val="0"/>
          <w:sz w:val="32"/>
          <w:szCs w:val="32"/>
          <w:lang w:val="en-US" w:eastAsia="zh-CN"/>
        </w:rPr>
        <w:t>发布</w:t>
      </w:r>
      <w:r>
        <w:rPr>
          <w:rFonts w:hint="eastAsia" w:ascii="仿宋_GB2312" w:hAnsi="宋体" w:eastAsia="仿宋_GB2312" w:cs="宋体"/>
          <w:b w:val="0"/>
          <w:bCs w:val="0"/>
          <w:spacing w:val="8"/>
          <w:kern w:val="0"/>
          <w:sz w:val="32"/>
          <w:szCs w:val="32"/>
          <w:lang w:val="en" w:eastAsia="zh-CN"/>
        </w:rPr>
        <w:t>和政策解读服务。发布政策文件6件，以文字、图片、视频、</w:t>
      </w:r>
      <w:r>
        <w:rPr>
          <w:rFonts w:hint="eastAsia" w:ascii="仿宋_GB2312" w:hAnsi="宋体" w:eastAsia="仿宋_GB2312" w:cs="宋体"/>
          <w:b w:val="0"/>
          <w:bCs w:val="0"/>
          <w:spacing w:val="8"/>
          <w:kern w:val="0"/>
          <w:sz w:val="32"/>
          <w:szCs w:val="32"/>
          <w:lang w:val="en-US" w:eastAsia="zh-CN"/>
        </w:rPr>
        <w:t>问答</w:t>
      </w:r>
      <w:r>
        <w:rPr>
          <w:rFonts w:hint="eastAsia" w:ascii="仿宋_GB2312" w:hAnsi="宋体" w:eastAsia="仿宋_GB2312" w:cs="宋体"/>
          <w:b w:val="0"/>
          <w:bCs w:val="0"/>
          <w:spacing w:val="8"/>
          <w:kern w:val="0"/>
          <w:sz w:val="32"/>
          <w:szCs w:val="32"/>
          <w:lang w:val="en" w:eastAsia="zh-CN"/>
        </w:rPr>
        <w:t>形式完成</w:t>
      </w:r>
      <w:r>
        <w:rPr>
          <w:rFonts w:hint="eastAsia" w:ascii="仿宋_GB2312" w:hAnsi="宋体" w:eastAsia="仿宋_GB2312" w:cs="宋体"/>
          <w:b w:val="0"/>
          <w:bCs w:val="0"/>
          <w:spacing w:val="8"/>
          <w:kern w:val="0"/>
          <w:sz w:val="32"/>
          <w:szCs w:val="32"/>
          <w:lang w:val="en-US" w:eastAsia="zh-CN"/>
        </w:rPr>
        <w:t>配套</w:t>
      </w:r>
      <w:r>
        <w:rPr>
          <w:rFonts w:hint="eastAsia" w:ascii="仿宋_GB2312" w:hAnsi="宋体" w:eastAsia="仿宋_GB2312" w:cs="宋体"/>
          <w:b w:val="0"/>
          <w:bCs w:val="0"/>
          <w:spacing w:val="8"/>
          <w:kern w:val="0"/>
          <w:sz w:val="32"/>
          <w:szCs w:val="32"/>
          <w:lang w:val="en" w:eastAsia="zh-CN"/>
        </w:rPr>
        <w:t>解读7件，提升政策的</w:t>
      </w:r>
      <w:r>
        <w:rPr>
          <w:rFonts w:hint="eastAsia" w:ascii="仿宋_GB2312" w:hAnsi="宋体" w:eastAsia="仿宋_GB2312" w:cs="宋体"/>
          <w:b w:val="0"/>
          <w:bCs w:val="0"/>
          <w:spacing w:val="8"/>
          <w:kern w:val="0"/>
          <w:sz w:val="32"/>
          <w:szCs w:val="32"/>
          <w:lang w:val="en-US" w:eastAsia="zh-CN"/>
        </w:rPr>
        <w:t>知晓度和应用性</w:t>
      </w:r>
      <w:r>
        <w:rPr>
          <w:rFonts w:hint="eastAsia" w:ascii="仿宋_GB2312" w:hAnsi="宋体" w:eastAsia="仿宋_GB2312" w:cs="宋体"/>
          <w:b w:val="0"/>
          <w:bCs w:val="0"/>
          <w:spacing w:val="8"/>
          <w:kern w:val="0"/>
          <w:sz w:val="32"/>
          <w:szCs w:val="32"/>
          <w:lang w:val="en" w:eastAsia="zh-CN"/>
        </w:rPr>
        <w:t>。</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优化主动公开内容。全年发布19385篇信息，及时转载党中央、国务院重大决策部署等权威信息881条，向市政府门户网站报送稿件被采用268篇。</w:t>
      </w:r>
      <w:r>
        <w:rPr>
          <w:rFonts w:hint="eastAsia" w:ascii="仿宋_GB2312" w:hAnsi="宋体" w:eastAsia="仿宋_GB2312" w:cs="宋体"/>
          <w:b w:val="0"/>
          <w:bCs w:val="0"/>
          <w:spacing w:val="8"/>
          <w:kern w:val="0"/>
          <w:sz w:val="32"/>
          <w:szCs w:val="32"/>
          <w:lang w:val="en" w:eastAsia="zh-CN"/>
        </w:rPr>
        <w:t>发布在线访谈7次，开展征集调查及反馈3次。召开</w:t>
      </w:r>
      <w:r>
        <w:rPr>
          <w:rFonts w:hint="eastAsia" w:ascii="仿宋_GB2312" w:hAnsi="宋体" w:eastAsia="仿宋_GB2312" w:cs="宋体"/>
          <w:b w:val="0"/>
          <w:bCs w:val="0"/>
          <w:spacing w:val="8"/>
          <w:kern w:val="0"/>
          <w:sz w:val="32"/>
          <w:szCs w:val="32"/>
          <w:lang w:val="en-US" w:eastAsia="zh-CN"/>
        </w:rPr>
        <w:t>新闻发布会12次，确保公开内容全面且及时。</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（三）严格规范依申请公开。一是</w:t>
      </w:r>
      <w:r>
        <w:rPr>
          <w:rFonts w:hint="eastAsia" w:ascii="仿宋_GB2312" w:hAnsi="宋体" w:eastAsia="仿宋_GB2312" w:cs="宋体"/>
          <w:b w:val="0"/>
          <w:bCs w:val="0"/>
          <w:spacing w:val="8"/>
          <w:kern w:val="0"/>
          <w:sz w:val="32"/>
          <w:szCs w:val="32"/>
          <w:lang w:val="en-US" w:eastAsia="zh-CN"/>
        </w:rPr>
        <w:t>规范办理。明确申请方式，及时更新对外联系电话，确保信函、网络、电话等申请途径畅通。对接收的申请逐一登记、全程跟踪，严格按照法定答复时限与程序要求办理。</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部门协同。实行专人负责和部门联合机制，对申请内容加强研判，完成全年所有答复均做到程序合法、内容严谨、格式规范。</w:t>
      </w:r>
      <w:bookmarkStart w:id="1" w:name="OLE_LINK2"/>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优化网站留言答复。积极回应社会关切问题，优化内部办理流程，着力提升答复的时效性与准确性。全年答复领导信箱咨询、建议、投诉留言1229件。</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（四）切实强化政府信息管理。一是</w:t>
      </w:r>
      <w:r>
        <w:rPr>
          <w:rFonts w:hint="eastAsia" w:ascii="仿宋_GB2312" w:hAnsi="宋体" w:eastAsia="仿宋_GB2312" w:cs="宋体"/>
          <w:b w:val="0"/>
          <w:bCs w:val="0"/>
          <w:spacing w:val="8"/>
          <w:kern w:val="0"/>
          <w:sz w:val="32"/>
          <w:szCs w:val="32"/>
          <w:lang w:val="en-US" w:eastAsia="zh-CN"/>
        </w:rPr>
        <w:t>新媒体推送文章实行三审三校制度，同时使用专业校对软件，实行人机共同校对审核的机制。</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严格落实审查制度。对网站和新媒体推送文章采用经办人员分级审批，一律填写保密审查单，并由推送部门最后统一进行准确性和保密性终审。</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应公开尽公开，加强对依申请公开和主动公开的管理。按时限要求及时发布政策文件及解读、行政许可等信息，开展政策文件的清理和更新，按时移送政策文件。</w:t>
      </w:r>
      <w:r>
        <w:rPr>
          <w:rFonts w:hint="eastAsia" w:ascii="仿宋_GB2312" w:hAnsi="宋体" w:eastAsia="仿宋_GB2312" w:cs="宋体"/>
          <w:b/>
          <w:bCs/>
          <w:spacing w:val="8"/>
          <w:kern w:val="0"/>
          <w:sz w:val="32"/>
          <w:szCs w:val="32"/>
          <w:lang w:val="en-US" w:eastAsia="zh-CN"/>
        </w:rPr>
        <w:t>四是</w:t>
      </w:r>
      <w:r>
        <w:rPr>
          <w:rFonts w:hint="eastAsia" w:ascii="仿宋_GB2312" w:hAnsi="宋体" w:eastAsia="仿宋_GB2312" w:cs="宋体"/>
          <w:b w:val="0"/>
          <w:bCs w:val="0"/>
          <w:spacing w:val="8"/>
          <w:kern w:val="0"/>
          <w:sz w:val="32"/>
          <w:szCs w:val="32"/>
          <w:lang w:val="en-US" w:eastAsia="zh-CN"/>
        </w:rPr>
        <w:t>拓宽政府信息公开渠道，例如，《北京市行政执法监督办法》《北京市2024年法治政府建设年度情况报告》在北京日报全文刊登。</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（五）扎实推进政府信息公开平台建设。一是</w:t>
      </w:r>
      <w:r>
        <w:rPr>
          <w:rFonts w:hint="eastAsia" w:ascii="仿宋_GB2312" w:hAnsi="宋体" w:eastAsia="仿宋_GB2312" w:cs="宋体"/>
          <w:b w:val="0"/>
          <w:bCs w:val="0"/>
          <w:spacing w:val="8"/>
          <w:kern w:val="0"/>
          <w:sz w:val="32"/>
          <w:szCs w:val="32"/>
          <w:lang w:val="en-US" w:eastAsia="zh-CN"/>
        </w:rPr>
        <w:t>强化官网更新。官方网站及时更新执法人员信息和复议机关地址电话，批量整改办事指南栏目信息，调整网站友情链接。修改“行政执法公示”专栏信息，新增“平安暖心事 政法正能量”栏目，全年推送73条信息，整合网民留言渠道并完成“互动交流”栏目的设计与上线。优化页面展示效果，统一表格样式，优化置顶信息提示效果，调整用户中心入口，取消栏目订阅功能，增加语音搜索功能。实现全年总访问量6,458,730。</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上线北京市律师诚信信息系统。面向行业内部和社会公众公示公开全市律师、律所受到行政处罚、行业惩戒和奖励情况的相关信息，社会公众可在该系统查询相关律师或律所执业信息的同时查询其诚信信息。全年共更新诚信信息333条，系统访问量共144163人次。</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新媒体阵地持续发力。“京司观澜”微信公众号25年订阅人数突破20万，共推送870期、1223篇文章，总阅读量350万余人次，被北京政法、司法部等上级新媒体账号转发转载相关博文201条。@北京司法微博共发博6304条，总阅读量4350万余人次，被北京政法、司法部等上级新媒体账号转发转载相关博文278条。“京司观澜”视频号共推送视频117条；北京司法头条号共推文1213条；北京司法一点号共推文1154条；北京司法法治号共推文298条；京司观澜北京号共推文319条；京司观澜抖音共97条，123793总播放量。</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（六）组织开展教育培训。</w:t>
      </w:r>
      <w:r>
        <w:rPr>
          <w:rFonts w:hint="eastAsia" w:ascii="仿宋_GB2312" w:hAnsi="宋体" w:eastAsia="仿宋_GB2312" w:cs="宋体"/>
          <w:b w:val="0"/>
          <w:bCs w:val="0"/>
          <w:spacing w:val="8"/>
          <w:kern w:val="0"/>
          <w:sz w:val="32"/>
          <w:szCs w:val="32"/>
          <w:lang w:val="en-US" w:eastAsia="zh-CN"/>
        </w:rPr>
        <w:t>北京市司法局举办2025年全系统调研信息宣传工作培训班，紧扣首都司法行政工作实际，通过集中授课、业务研讨等方式，就信息宣传、政务公开、舆情防范等进行授课，提升全系统信息宣传工作，强化政务公开能力水平。</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jc w:val="both"/>
        <w:textAlignment w:val="auto"/>
        <w:rPr>
          <w:rFonts w:hint="default" w:ascii="仿宋_GB2312" w:hAnsi="宋体" w:eastAsia="仿宋_GB2312" w:cs="宋体"/>
          <w:b w:val="0"/>
          <w:bCs w:val="0"/>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rPr>
        <w:t>（七）全面提升</w:t>
      </w:r>
      <w:r>
        <w:rPr>
          <w:rFonts w:hint="default" w:ascii="仿宋_GB2312" w:hAnsi="宋体" w:eastAsia="仿宋_GB2312" w:cs="宋体"/>
          <w:b/>
          <w:bCs/>
          <w:spacing w:val="8"/>
          <w:kern w:val="0"/>
          <w:sz w:val="32"/>
          <w:szCs w:val="32"/>
          <w:lang w:val="en-US" w:eastAsia="zh-CN"/>
        </w:rPr>
        <w:t>监督保障。</w:t>
      </w: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b w:val="0"/>
          <w:bCs w:val="0"/>
          <w:spacing w:val="8"/>
          <w:kern w:val="0"/>
          <w:sz w:val="32"/>
          <w:szCs w:val="32"/>
          <w:lang w:val="en-US" w:eastAsia="zh-CN"/>
        </w:rPr>
        <w:t>开展保密教育培训，增强工作人员保密意识。全年发布信息均安全准确，未发生安全泄密事故及严重表述错误。</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办公室作为牵头部门协调各业务部门，明确分工，及时提醒更新。</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加强网站和新媒体安全巡查与测试，完成4次渗透测试整改工作。及时修改历史遗留的死链、错链、错敏字，其中网站3308条，新媒体86条。进行4次自查工作，网站和新媒体核查评估均为满分。</w:t>
      </w:r>
    </w:p>
    <w:p>
      <w:pPr>
        <w:widowControl/>
        <w:spacing w:line="560" w:lineRule="exact"/>
        <w:ind w:firstLine="675"/>
        <w:jc w:val="left"/>
        <w:rPr>
          <w:rFonts w:hint="eastAsia" w:ascii="黑体" w:hAnsi="宋体" w:eastAsia="黑体" w:cs="黑体"/>
          <w:sz w:val="32"/>
          <w:szCs w:val="32"/>
        </w:rPr>
      </w:pPr>
      <w:r>
        <w:rPr>
          <w:rFonts w:hint="eastAsia" w:ascii="黑体" w:hAnsi="宋体" w:eastAsia="黑体" w:cs="宋体"/>
          <w:spacing w:val="8"/>
          <w:kern w:val="0"/>
          <w:sz w:val="32"/>
          <w:szCs w:val="32"/>
          <w:lang w:eastAsia="zh-CN" w:bidi="ar"/>
        </w:rPr>
        <w:t>二</w:t>
      </w:r>
      <w:r>
        <w:rPr>
          <w:rFonts w:hint="eastAsia" w:ascii="黑体" w:hAnsi="宋体" w:eastAsia="黑体" w:cs="宋体"/>
          <w:spacing w:val="8"/>
          <w:kern w:val="0"/>
          <w:sz w:val="32"/>
          <w:szCs w:val="32"/>
          <w:lang w:val="en-US" w:eastAsia="zh-CN" w:bidi="ar"/>
        </w:rPr>
        <w:t>、</w:t>
      </w:r>
      <w:r>
        <w:rPr>
          <w:rFonts w:hint="eastAsia" w:ascii="黑体" w:hAnsi="宋体" w:eastAsia="黑体" w:cs="黑体"/>
          <w:sz w:val="32"/>
          <w:szCs w:val="32"/>
          <w:lang w:bidi="ar"/>
        </w:rPr>
        <w:t>主动公开政府信息情况</w:t>
      </w: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FF0000"/>
              </w:rPr>
            </w:pPr>
            <w:r>
              <w:rPr>
                <w:rFonts w:hint="eastAsia" w:ascii="宋体" w:hAnsi="宋体" w:cs="宋体"/>
                <w:color w:val="auto"/>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color w:val="auto"/>
                <w:lang w:val="en-US" w:eastAsia="zh-CN"/>
              </w:rPr>
            </w:pPr>
            <w:r>
              <w:rPr>
                <w:rFonts w:hint="eastAsia" w:ascii="宋体" w:hAnsi="宋体" w:eastAsia="宋体" w:cs="宋体"/>
                <w:color w:val="auto"/>
                <w:kern w:val="0"/>
                <w:sz w:val="20"/>
                <w:szCs w:val="20"/>
                <w:lang w:val="en-US" w:eastAsia="zh-CN" w:bidi="ar"/>
              </w:rPr>
              <w:t>17889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color w:val="auto"/>
                <w:sz w:val="20"/>
                <w:szCs w:val="20"/>
                <w:lang w:val="en-US" w:eastAsia="zh-CN"/>
              </w:rPr>
            </w:pPr>
            <w:r>
              <w:rPr>
                <w:rFonts w:hint="eastAsia" w:eastAsia="宋体"/>
                <w:color w:val="auto"/>
                <w:sz w:val="20"/>
                <w:szCs w:val="20"/>
                <w:lang w:val="en-US" w:eastAsia="zh-CN"/>
              </w:rPr>
              <w:t>14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olor w:val="auto"/>
                <w:sz w:val="20"/>
                <w:szCs w:val="20"/>
                <w:lang w:val="en-US" w:eastAsia="zh-CN"/>
              </w:rPr>
            </w:pPr>
            <w:r>
              <w:rPr>
                <w:rFonts w:hint="eastAsia" w:ascii="宋体" w:hAnsi="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hAnsi="Times New Roman" w:eastAsia="宋体" w:cs="宋体"/>
                <w:color w:val="auto"/>
                <w:sz w:val="24"/>
                <w:lang w:val="en-US" w:eastAsia="zh-CN"/>
              </w:rPr>
            </w:pPr>
            <w:r>
              <w:rPr>
                <w:rFonts w:hint="eastAsia" w:ascii="宋体" w:hAnsi="Times New Roman" w:cs="宋体"/>
                <w:color w:val="auto"/>
                <w:sz w:val="20"/>
                <w:szCs w:val="20"/>
                <w:lang w:val="en-US" w:eastAsia="zh-CN"/>
              </w:rPr>
              <w:t>805.084</w:t>
            </w:r>
          </w:p>
        </w:tc>
      </w:tr>
    </w:tbl>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黑体" w:hAnsi="黑体" w:eastAsia="黑体" w:cs="宋体"/>
          <w:color w:val="auto"/>
          <w:spacing w:val="8"/>
          <w:kern w:val="0"/>
          <w:sz w:val="32"/>
          <w:szCs w:val="32"/>
        </w:rPr>
      </w:pPr>
      <w:r>
        <w:rPr>
          <w:rFonts w:hint="eastAsia" w:ascii="黑体" w:hAnsi="黑体" w:eastAsia="黑体" w:cs="宋体"/>
          <w:color w:val="auto"/>
          <w:spacing w:val="8"/>
          <w:kern w:val="0"/>
          <w:sz w:val="32"/>
          <w:szCs w:val="32"/>
          <w:lang w:eastAsia="zh-CN"/>
        </w:rPr>
        <w:t>三、</w:t>
      </w:r>
      <w:r>
        <w:rPr>
          <w:rFonts w:hint="eastAsia" w:ascii="黑体" w:hAnsi="黑体" w:eastAsia="黑体" w:cs="宋体"/>
          <w:color w:val="auto"/>
          <w:spacing w:val="8"/>
          <w:kern w:val="0"/>
          <w:sz w:val="32"/>
          <w:szCs w:val="32"/>
        </w:rPr>
        <w:t>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2"/>
        <w:gridCol w:w="3210"/>
        <w:gridCol w:w="697"/>
        <w:gridCol w:w="687"/>
        <w:gridCol w:w="687"/>
        <w:gridCol w:w="687"/>
        <w:gridCol w:w="687"/>
        <w:gridCol w:w="687"/>
        <w:gridCol w:w="6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29"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color w:val="auto"/>
                <w:sz w:val="24"/>
                <w:szCs w:val="24"/>
              </w:rPr>
            </w:pPr>
          </w:p>
        </w:tc>
        <w:tc>
          <w:tcPr>
            <w:tcW w:w="697"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435"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97"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color w:val="auto"/>
                <w:sz w:val="24"/>
                <w:szCs w:val="24"/>
              </w:rPr>
            </w:pPr>
          </w:p>
        </w:tc>
        <w:tc>
          <w:tcPr>
            <w:tcW w:w="697"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color w:val="auto"/>
                <w:sz w:val="24"/>
                <w:szCs w:val="24"/>
              </w:rPr>
            </w:pPr>
          </w:p>
        </w:tc>
        <w:tc>
          <w:tcPr>
            <w:tcW w:w="687"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687"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687"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97"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1754</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1765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59</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default" w:ascii="楷体" w:hAnsi="楷体" w:eastAsia="楷体" w:cs="楷体"/>
                <w:color w:val="auto"/>
                <w:kern w:val="0"/>
                <w:sz w:val="20"/>
                <w:szCs w:val="20"/>
                <w:lang w:val="en-US" w:eastAsia="zh-CN" w:bidi="ar"/>
              </w:rPr>
              <w:t>（区分处理的，只计这一情形，不计其他情形）</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lang w:val="en-US" w:eastAsia="zh-CN"/>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16</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55</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1482</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1482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9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1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105</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kern w:val="0"/>
                <w:sz w:val="20"/>
                <w:szCs w:val="20"/>
                <w:lang w:val="en-US" w:eastAsia="zh-CN" w:bidi="ar"/>
              </w:rPr>
              <w:t>114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415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1748</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rPr>
            </w:pPr>
            <w:r>
              <w:rPr>
                <w:rFonts w:hint="eastAsia" w:ascii="宋体" w:hAnsi="宋体" w:eastAsia="宋体" w:cs="宋体"/>
                <w:color w:val="auto"/>
                <w:kern w:val="0"/>
                <w:sz w:val="20"/>
                <w:szCs w:val="20"/>
                <w:lang w:val="en-US" w:eastAsia="zh-CN" w:bidi="ar"/>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auto"/>
                <w:lang w:val="en-US"/>
              </w:rPr>
            </w:pPr>
            <w:r>
              <w:rPr>
                <w:rFonts w:hint="eastAsia" w:ascii="宋体" w:hAnsi="宋体" w:eastAsia="宋体" w:cs="宋体"/>
                <w:color w:val="auto"/>
                <w:lang w:val="en-US" w:eastAsia="zh-CN"/>
              </w:rPr>
              <w:t>1761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69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87" w:type="dxa"/>
            <w:tcBorders>
              <w:top w:val="outset" w:color="auto" w:sz="6" w:space="0"/>
              <w:left w:val="nil"/>
              <w:bottom w:val="outset" w:color="auto" w:sz="6" w:space="0"/>
              <w:right w:val="outset" w:color="auto" w:sz="6"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697" w:type="dxa"/>
            <w:tcBorders>
              <w:top w:val="outset" w:color="auto" w:sz="6" w:space="0"/>
              <w:left w:val="nil"/>
              <w:bottom w:val="outset" w:color="auto" w:sz="6" w:space="0"/>
              <w:right w:val="outset" w:color="auto" w:sz="6"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黑体" w:hAnsi="宋体" w:eastAsia="黑体" w:cs="黑体"/>
          <w:color w:val="auto"/>
          <w:sz w:val="32"/>
          <w:szCs w:val="32"/>
          <w:lang w:eastAsia="zh-CN" w:bidi="ar"/>
        </w:rPr>
        <w:t>四、</w:t>
      </w:r>
      <w:r>
        <w:rPr>
          <w:rFonts w:hint="eastAsia" w:ascii="黑体" w:hAnsi="宋体" w:eastAsia="黑体" w:cs="黑体"/>
          <w:color w:val="auto"/>
          <w:sz w:val="32"/>
          <w:szCs w:val="32"/>
          <w:lang w:bidi="ar"/>
        </w:rPr>
        <w:t>政府信息公开行政复议、行政诉讼情况</w:t>
      </w:r>
    </w:p>
    <w:tbl>
      <w:tblPr>
        <w:tblStyle w:val="7"/>
        <w:tblW w:w="98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29"/>
        <w:gridCol w:w="627"/>
        <w:gridCol w:w="648"/>
        <w:gridCol w:w="643"/>
        <w:gridCol w:w="720"/>
        <w:gridCol w:w="644"/>
        <w:gridCol w:w="644"/>
        <w:gridCol w:w="645"/>
        <w:gridCol w:w="645"/>
        <w:gridCol w:w="645"/>
        <w:gridCol w:w="646"/>
        <w:gridCol w:w="646"/>
        <w:gridCol w:w="646"/>
        <w:gridCol w:w="646"/>
        <w:gridCol w:w="6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367"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行政复议</w:t>
            </w:r>
          </w:p>
        </w:tc>
        <w:tc>
          <w:tcPr>
            <w:tcW w:w="645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72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结果维持</w:t>
            </w:r>
          </w:p>
        </w:tc>
        <w:tc>
          <w:tcPr>
            <w:tcW w:w="627"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8"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3"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72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c>
          <w:tcPr>
            <w:tcW w:w="322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未经复议直接起诉</w:t>
            </w:r>
          </w:p>
        </w:tc>
        <w:tc>
          <w:tcPr>
            <w:tcW w:w="323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72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2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3"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7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color w:val="auto"/>
                <w:sz w:val="20"/>
                <w:szCs w:val="20"/>
              </w:rPr>
            </w:pP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维持</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4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维持</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4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auto"/>
              </w:rPr>
            </w:pPr>
            <w:r>
              <w:rPr>
                <w:rFonts w:hint="eastAsia" w:ascii="宋体" w:hAnsi="宋体" w:cs="宋体"/>
                <w:color w:val="auto"/>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72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62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8"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7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646"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宋体" w:eastAsia="仿宋_GB2312" w:cs="宋体"/>
          <w:b/>
          <w:bCs/>
          <w:spacing w:val="8"/>
          <w:kern w:val="0"/>
          <w:sz w:val="32"/>
          <w:szCs w:val="32"/>
          <w:lang w:val="en-US" w:eastAsia="zh-CN" w:bidi="ar-SA"/>
        </w:rPr>
      </w:pPr>
      <w:r>
        <w:rPr>
          <w:rFonts w:hint="default" w:ascii="黑体" w:hAnsi="黑体" w:eastAsia="黑体" w:cs="宋体"/>
          <w:color w:val="auto"/>
          <w:spacing w:val="8"/>
          <w:kern w:val="0"/>
          <w:sz w:val="32"/>
          <w:szCs w:val="32"/>
          <w:lang w:val="en-US" w:eastAsia="zh-CN" w:bidi="ar-SA"/>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2</w:t>
      </w:r>
      <w:bookmarkStart w:id="2" w:name="_GoBack"/>
      <w:bookmarkEnd w:id="2"/>
      <w:r>
        <w:rPr>
          <w:rFonts w:hint="default" w:ascii="仿宋_GB2312" w:hAnsi="宋体" w:eastAsia="仿宋_GB2312" w:cs="宋体"/>
          <w:spacing w:val="8"/>
          <w:kern w:val="0"/>
          <w:sz w:val="32"/>
          <w:szCs w:val="32"/>
          <w:lang w:val="en-US" w:eastAsia="zh-CN"/>
        </w:rPr>
        <w:t>025年，我局在市委、市政府的坚强领导下，持续深化政府信息公开工作，取得一定成效。但是，在2025年网站留言数量大幅增加的情况下，回应效率仍需持续提升，要精准对接群众多元需求，做到在网端能够案结事了。进一步聚焦社会关切热点与群众急难愁盼问题，加强业务学习，积极优化办理流程，着力提升回应效率与质量，以更高标准、更实举措、更优服务推动政府信息公开工作提质增效，切实增强人民群众的法治获得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黑体" w:hAnsi="黑体" w:eastAsia="黑体" w:cs="宋体"/>
          <w:color w:val="auto"/>
          <w:spacing w:val="8"/>
          <w:kern w:val="0"/>
          <w:sz w:val="32"/>
          <w:szCs w:val="32"/>
          <w:lang w:val="en-US" w:eastAsia="zh-CN" w:bidi="ar-SA"/>
        </w:rPr>
      </w:pPr>
      <w:r>
        <w:rPr>
          <w:rFonts w:hint="default" w:ascii="黑体" w:hAnsi="黑体" w:eastAsia="黑体" w:cs="宋体"/>
          <w:color w:val="auto"/>
          <w:spacing w:val="8"/>
          <w:kern w:val="0"/>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我局今年发出的信息收费通知的件数和总金额均为0元；实际收取的总金额为0元。</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我局门户网站（北京市司法行政网）的网址为https://sfj.beijing.gov.cn/，如需了解更多政府信息，请登录查询。</w:t>
      </w:r>
    </w:p>
    <w:p>
      <w:pPr>
        <w:keepNext w:val="0"/>
        <w:keepLines w:val="0"/>
        <w:pageBreakBefore w:val="0"/>
        <w:widowControl w:val="0"/>
        <w:kinsoku/>
        <w:wordWrap/>
        <w:overflowPunct/>
        <w:topLinePunct w:val="0"/>
        <w:autoSpaceDE/>
        <w:autoSpaceDN/>
        <w:bidi w:val="0"/>
        <w:adjustRightInd/>
        <w:snapToGrid/>
        <w:spacing w:line="560" w:lineRule="exact"/>
        <w:ind w:firstLine="336" w:firstLineChars="100"/>
        <w:jc w:val="righ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TQ3YjQyNThkYzBhMzVkNjI5Y2I2MmNhZTU4N2IifQ=="/>
  </w:docVars>
  <w:rsids>
    <w:rsidRoot w:val="4C7D57F5"/>
    <w:rsid w:val="066E5559"/>
    <w:rsid w:val="0929278F"/>
    <w:rsid w:val="0B4A19BA"/>
    <w:rsid w:val="0BB634D0"/>
    <w:rsid w:val="0BFD4BC4"/>
    <w:rsid w:val="0FA35FBA"/>
    <w:rsid w:val="105C7445"/>
    <w:rsid w:val="105E4D14"/>
    <w:rsid w:val="106A5089"/>
    <w:rsid w:val="11BF0502"/>
    <w:rsid w:val="12BA4112"/>
    <w:rsid w:val="133E49D2"/>
    <w:rsid w:val="13E41F36"/>
    <w:rsid w:val="13F371A8"/>
    <w:rsid w:val="153D0786"/>
    <w:rsid w:val="208272C2"/>
    <w:rsid w:val="219A74AB"/>
    <w:rsid w:val="224958F7"/>
    <w:rsid w:val="22B00677"/>
    <w:rsid w:val="244D50D1"/>
    <w:rsid w:val="279131FE"/>
    <w:rsid w:val="28183A4A"/>
    <w:rsid w:val="2B5C7A1C"/>
    <w:rsid w:val="2E9FE3AD"/>
    <w:rsid w:val="32262C17"/>
    <w:rsid w:val="328A77E0"/>
    <w:rsid w:val="33BD6942"/>
    <w:rsid w:val="35FF442B"/>
    <w:rsid w:val="390F6497"/>
    <w:rsid w:val="39F71B5A"/>
    <w:rsid w:val="3DC9389F"/>
    <w:rsid w:val="3FF7A10F"/>
    <w:rsid w:val="41186AE3"/>
    <w:rsid w:val="416E0B8C"/>
    <w:rsid w:val="4204072B"/>
    <w:rsid w:val="421600A6"/>
    <w:rsid w:val="42EB7D55"/>
    <w:rsid w:val="430D1DCC"/>
    <w:rsid w:val="43CC79E6"/>
    <w:rsid w:val="46B06418"/>
    <w:rsid w:val="47E60509"/>
    <w:rsid w:val="47EE1A86"/>
    <w:rsid w:val="48735B61"/>
    <w:rsid w:val="49586942"/>
    <w:rsid w:val="49B727EA"/>
    <w:rsid w:val="4A9D2915"/>
    <w:rsid w:val="4C7D57F5"/>
    <w:rsid w:val="4CBD0A6A"/>
    <w:rsid w:val="4DBD1F35"/>
    <w:rsid w:val="4F3E780B"/>
    <w:rsid w:val="506D1428"/>
    <w:rsid w:val="51792CBB"/>
    <w:rsid w:val="52451DAF"/>
    <w:rsid w:val="53BC1460"/>
    <w:rsid w:val="547F62D7"/>
    <w:rsid w:val="54ED4406"/>
    <w:rsid w:val="55E56674"/>
    <w:rsid w:val="58CF419B"/>
    <w:rsid w:val="59FF2629"/>
    <w:rsid w:val="5E287195"/>
    <w:rsid w:val="5F717E30"/>
    <w:rsid w:val="67BE1191"/>
    <w:rsid w:val="69AB0195"/>
    <w:rsid w:val="6CFDAF1B"/>
    <w:rsid w:val="702C60D2"/>
    <w:rsid w:val="72237303"/>
    <w:rsid w:val="72ED4888"/>
    <w:rsid w:val="747B0A7F"/>
    <w:rsid w:val="7492416E"/>
    <w:rsid w:val="76D61322"/>
    <w:rsid w:val="76FD1E63"/>
    <w:rsid w:val="7F6030E5"/>
    <w:rsid w:val="7FFF3358"/>
    <w:rsid w:val="AEDF9398"/>
    <w:rsid w:val="DB5F4ED6"/>
    <w:rsid w:val="F26DB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2741</Words>
  <Characters>2911</Characters>
  <Lines>0</Lines>
  <Paragraphs>0</Paragraphs>
  <TotalTime>27</TotalTime>
  <ScaleCrop>false</ScaleCrop>
  <LinksUpToDate>false</LinksUpToDate>
  <CharactersWithSpaces>2911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2025-01-14T02:41:00Z</dcterms:created>
  <dc:creator>盆栽</dc:creator>
  <cp:lastModifiedBy>ZKHL</cp:lastModifiedBy>
  <cp:lastPrinted>2026-01-12T22:28:00Z</cp:lastPrinted>
  <dcterms:modified xsi:type="dcterms:W3CDTF">2026-01-22T03:01:55Z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F081973A4BA54CCEBE086DFB982B4C86_11</vt:lpwstr>
  </property>
</Properties>
</file>